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55029BF6"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r w:rsidRPr="00FB61C6">
        <w:t>R</w:t>
      </w:r>
      <w:r w:rsidR="003C564B" w:rsidRPr="00FB61C6">
        <w:t>4</w:t>
      </w:r>
      <w:r w:rsidRPr="00FB61C6">
        <w:t>-</w:t>
      </w:r>
      <w:r w:rsidR="00D46431" w:rsidRPr="00FB61C6">
        <w:t>19</w:t>
      </w:r>
      <w:r w:rsidR="00FB61C6" w:rsidRPr="00FB61C6">
        <w:t>08011</w:t>
      </w:r>
    </w:p>
    <w:p w14:paraId="50DC9730" w14:textId="1CDEFDC7"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5A88125E" w:rsidR="00D309CC" w:rsidRPr="0008103A" w:rsidRDefault="00D309CC" w:rsidP="00D309CC">
      <w:pPr>
        <w:pStyle w:val="CH"/>
        <w:rPr>
          <w:b w:val="0"/>
        </w:rPr>
      </w:pPr>
      <w:r w:rsidRPr="0008103A">
        <w:t>Agenda item:</w:t>
      </w:r>
      <w:r>
        <w:tab/>
      </w:r>
      <w:r w:rsidR="00752075" w:rsidRPr="00752075">
        <w:t>10.18.1</w:t>
      </w:r>
    </w:p>
    <w:p w14:paraId="4DBE005A" w14:textId="77777777" w:rsidR="00D309CC" w:rsidRPr="0008103A" w:rsidRDefault="00D309CC" w:rsidP="00D309CC">
      <w:pPr>
        <w:pStyle w:val="CH"/>
        <w:rPr>
          <w:b w:val="0"/>
        </w:rPr>
      </w:pPr>
      <w:r>
        <w:t>Source:</w:t>
      </w:r>
      <w:r>
        <w:tab/>
        <w:t>Apple Inc.</w:t>
      </w:r>
    </w:p>
    <w:p w14:paraId="0D2061A1" w14:textId="7031ABC5" w:rsidR="00D309CC" w:rsidRDefault="00D309CC" w:rsidP="00D309CC">
      <w:pPr>
        <w:pStyle w:val="CH"/>
      </w:pPr>
      <w:r w:rsidRPr="0008103A">
        <w:t>Title:</w:t>
      </w:r>
      <w:r w:rsidRPr="0008103A">
        <w:tab/>
      </w:r>
      <w:r w:rsidR="00752075" w:rsidRPr="00752075">
        <w:t>Multi-band requirement framework for Band n259</w:t>
      </w:r>
    </w:p>
    <w:p w14:paraId="052B1E0C" w14:textId="52DB8B04" w:rsidR="00104BC6" w:rsidRDefault="00104BC6" w:rsidP="00D309CC">
      <w:pPr>
        <w:pStyle w:val="CH"/>
      </w:pPr>
      <w:r>
        <w:t>WI/SI:</w:t>
      </w:r>
      <w:r>
        <w:tab/>
      </w:r>
      <w:r w:rsidR="00752075" w:rsidRPr="00752075">
        <w:t>NR_n259-Core</w:t>
      </w:r>
    </w:p>
    <w:p w14:paraId="6C6D1281" w14:textId="3DAE6749" w:rsidR="00104BC6" w:rsidRDefault="00104BC6" w:rsidP="00D309CC">
      <w:pPr>
        <w:pStyle w:val="CH"/>
        <w:rPr>
          <w:b w:val="0"/>
        </w:rPr>
      </w:pPr>
      <w:r>
        <w:t>Release:</w:t>
      </w:r>
      <w:r>
        <w:tab/>
      </w:r>
      <w:r w:rsidR="00752075" w:rsidRPr="00752075">
        <w:t>Rel-16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1B43B714" w:rsidR="008E7986" w:rsidRPr="004D3578" w:rsidRDefault="008E7986" w:rsidP="008E7986">
      <w:pPr>
        <w:pStyle w:val="Heading1"/>
      </w:pPr>
      <w:r>
        <w:t>1</w:t>
      </w:r>
      <w:r>
        <w:tab/>
      </w:r>
      <w:r w:rsidRPr="004D3578">
        <w:t>Introduction</w:t>
      </w:r>
    </w:p>
    <w:p w14:paraId="06E92CC7" w14:textId="4F806CEB" w:rsidR="008E7986" w:rsidRDefault="00B067DA" w:rsidP="008E7986">
      <w:r>
        <w:t xml:space="preserve">The work item to introduce the new Band n259 </w:t>
      </w:r>
      <w:r>
        <w:fldChar w:fldCharType="begin"/>
      </w:r>
      <w:r>
        <w:instrText xml:space="preserve"> REF _Ref16511322 \r \h </w:instrText>
      </w:r>
      <w:r>
        <w:fldChar w:fldCharType="separate"/>
      </w:r>
      <w:r w:rsidR="00976630">
        <w:t>[1]</w:t>
      </w:r>
      <w:r>
        <w:fldChar w:fldCharType="end"/>
      </w:r>
      <w:r>
        <w:t xml:space="preserve"> has reached the following agreements</w:t>
      </w:r>
      <w:r w:rsidR="00072F25">
        <w:t xml:space="preserve"> </w:t>
      </w:r>
      <w:r w:rsidR="00072F25">
        <w:fldChar w:fldCharType="begin"/>
      </w:r>
      <w:r w:rsidR="00072F25">
        <w:instrText xml:space="preserve"> REF _Ref16511618 \r \h </w:instrText>
      </w:r>
      <w:r w:rsidR="00072F25">
        <w:fldChar w:fldCharType="separate"/>
      </w:r>
      <w:r w:rsidR="00976630">
        <w:t>[2]</w:t>
      </w:r>
      <w:r w:rsidR="00072F25">
        <w:fldChar w:fldCharType="end"/>
      </w:r>
      <w:r>
        <w:t>:</w:t>
      </w:r>
    </w:p>
    <w:p w14:paraId="7C91375C" w14:textId="04A7DE14" w:rsidR="002747FA" w:rsidRDefault="002747FA" w:rsidP="002747FA">
      <w:pPr>
        <w:pStyle w:val="B1"/>
        <w:pBdr>
          <w:top w:val="single" w:sz="4" w:space="1" w:color="auto"/>
          <w:left w:val="single" w:sz="4" w:space="4" w:color="auto"/>
          <w:bottom w:val="single" w:sz="4" w:space="1" w:color="auto"/>
          <w:right w:val="single" w:sz="4" w:space="4" w:color="auto"/>
        </w:pBdr>
      </w:pPr>
      <w:r>
        <w:t>Agreement:</w:t>
      </w:r>
    </w:p>
    <w:p w14:paraId="3ECC3883" w14:textId="363A7B19" w:rsidR="002747FA" w:rsidRDefault="002747FA" w:rsidP="002747FA">
      <w:pPr>
        <w:pStyle w:val="B1"/>
        <w:pBdr>
          <w:top w:val="single" w:sz="4" w:space="1" w:color="auto"/>
          <w:left w:val="single" w:sz="4" w:space="4" w:color="auto"/>
          <w:bottom w:val="single" w:sz="4" w:space="1" w:color="auto"/>
          <w:right w:val="single" w:sz="4" w:space="4" w:color="auto"/>
        </w:pBdr>
      </w:pPr>
      <w:r>
        <w:t>-</w:t>
      </w:r>
      <w:r>
        <w:tab/>
        <w:t>Band plan for n259 is 39.5GHz – 43.5GHz</w:t>
      </w:r>
    </w:p>
    <w:p w14:paraId="3BA0D587" w14:textId="3303A76B" w:rsidR="002747FA" w:rsidRDefault="002747FA" w:rsidP="002747FA">
      <w:pPr>
        <w:pStyle w:val="B1"/>
        <w:pBdr>
          <w:top w:val="single" w:sz="4" w:space="1" w:color="auto"/>
          <w:left w:val="single" w:sz="4" w:space="4" w:color="auto"/>
          <w:bottom w:val="single" w:sz="4" w:space="1" w:color="auto"/>
          <w:right w:val="single" w:sz="4" w:space="4" w:color="auto"/>
        </w:pBdr>
      </w:pPr>
      <w:r>
        <w:t>-</w:t>
      </w:r>
      <w:r>
        <w:tab/>
        <w:t xml:space="preserve">Intra-band CA requirements shall apply for inter-band CA configurations between n260 and n259 including intra-band capabilities.   </w:t>
      </w:r>
    </w:p>
    <w:p w14:paraId="242C7104" w14:textId="16C5D784" w:rsidR="002747FA" w:rsidRDefault="002747FA" w:rsidP="002747FA">
      <w:pPr>
        <w:pStyle w:val="B1"/>
        <w:pBdr>
          <w:top w:val="single" w:sz="4" w:space="1" w:color="auto"/>
          <w:left w:val="single" w:sz="4" w:space="4" w:color="auto"/>
          <w:bottom w:val="single" w:sz="4" w:space="1" w:color="auto"/>
          <w:right w:val="single" w:sz="4" w:space="4" w:color="auto"/>
        </w:pBdr>
      </w:pPr>
      <w:r>
        <w:t>-</w:t>
      </w:r>
      <w:r>
        <w:tab/>
        <w:t xml:space="preserve">Requirements for single band n259 and associated multiband requirements shall be agreed as a single CR pack for n259 WI. </w:t>
      </w:r>
    </w:p>
    <w:p w14:paraId="277ED455" w14:textId="2589E59D" w:rsidR="00B067DA" w:rsidRDefault="002747FA" w:rsidP="002747FA">
      <w:pPr>
        <w:pStyle w:val="B1"/>
        <w:pBdr>
          <w:top w:val="single" w:sz="4" w:space="1" w:color="auto"/>
          <w:left w:val="single" w:sz="4" w:space="4" w:color="auto"/>
          <w:bottom w:val="single" w:sz="4" w:space="1" w:color="auto"/>
          <w:right w:val="single" w:sz="4" w:space="4" w:color="auto"/>
        </w:pBdr>
      </w:pPr>
      <w:r>
        <w:t>-</w:t>
      </w:r>
      <w:r>
        <w:tab/>
        <w:t>The scope of the multiband requirements shall be further discussed.</w:t>
      </w:r>
    </w:p>
    <w:p w14:paraId="2C7EDD72" w14:textId="77777777" w:rsidR="00072F25" w:rsidRDefault="00072F25" w:rsidP="002747FA"/>
    <w:p w14:paraId="793B4A50" w14:textId="728701E0" w:rsidR="002747FA" w:rsidRDefault="00072F25" w:rsidP="002747FA">
      <w:r>
        <w:t xml:space="preserve">According to the Rapporteur’s work plan </w:t>
      </w:r>
      <w:r>
        <w:fldChar w:fldCharType="begin"/>
      </w:r>
      <w:r>
        <w:instrText xml:space="preserve"> REF _Ref16511671 \r \h </w:instrText>
      </w:r>
      <w:r>
        <w:fldChar w:fldCharType="separate"/>
      </w:r>
      <w:r w:rsidR="00976630">
        <w:t>[3]</w:t>
      </w:r>
      <w:r>
        <w:fldChar w:fldCharType="end"/>
      </w:r>
      <w:r>
        <w:t xml:space="preserve"> and </w:t>
      </w:r>
      <w:r w:rsidR="00E80C3E">
        <w:t xml:space="preserve">a </w:t>
      </w:r>
      <w:r>
        <w:t xml:space="preserve">suggested work plan refinement </w:t>
      </w:r>
      <w:r>
        <w:fldChar w:fldCharType="begin"/>
      </w:r>
      <w:r>
        <w:instrText xml:space="preserve"> REF _Ref16511683 \r \h </w:instrText>
      </w:r>
      <w:r>
        <w:fldChar w:fldCharType="separate"/>
      </w:r>
      <w:r w:rsidR="00976630">
        <w:t>[4]</w:t>
      </w:r>
      <w:r>
        <w:fldChar w:fldCharType="end"/>
      </w:r>
      <w:r>
        <w:t>, this contribution provides views on making progress on the radiated requirements for peak EIRP, spherical coverage EIRP, peak EIS, and spherical coverage EIS.</w:t>
      </w:r>
    </w:p>
    <w:p w14:paraId="3A67921B" w14:textId="22B52B1D" w:rsidR="008E7986" w:rsidRDefault="008E7986" w:rsidP="008E7986">
      <w:pPr>
        <w:pStyle w:val="Heading1"/>
      </w:pPr>
      <w:r>
        <w:t>2</w:t>
      </w:r>
      <w:r>
        <w:tab/>
      </w:r>
      <w:r w:rsidR="00FB7CBD">
        <w:t>Discussion</w:t>
      </w:r>
    </w:p>
    <w:p w14:paraId="0DB0A376" w14:textId="20125BE4" w:rsidR="00FB7CBD" w:rsidRDefault="00FB7CBD" w:rsidP="008E7986">
      <w:pPr>
        <w:pStyle w:val="Heading2"/>
      </w:pPr>
      <w:r>
        <w:t>2.1</w:t>
      </w:r>
      <w:r>
        <w:tab/>
        <w:t>Single band case</w:t>
      </w:r>
    </w:p>
    <w:p w14:paraId="7B5BFF49" w14:textId="6BDBAFA5" w:rsidR="00BD134C" w:rsidRPr="00BD134C" w:rsidRDefault="00BD134C" w:rsidP="00BD134C">
      <w:r>
        <w:t>We define the single band case to be a device which supports only Band n259.  Even though such a device may not be developed for a practical application, it is a useful reference from which to derive the multi-band requirements.</w:t>
      </w:r>
    </w:p>
    <w:p w14:paraId="2ED90DB7" w14:textId="53953EDA" w:rsidR="008E7986" w:rsidRDefault="008E7986" w:rsidP="00FB7CBD">
      <w:pPr>
        <w:pStyle w:val="Heading3"/>
      </w:pPr>
      <w:r>
        <w:t>2.1</w:t>
      </w:r>
      <w:r w:rsidR="00FB7CBD">
        <w:t>.1</w:t>
      </w:r>
      <w:r>
        <w:tab/>
      </w:r>
      <w:r w:rsidR="00FB7CBD">
        <w:t>Assumptions on transmitter components’ performance</w:t>
      </w:r>
    </w:p>
    <w:p w14:paraId="71D2BD20" w14:textId="6B37C52F" w:rsidR="005E69AE" w:rsidRDefault="00BD134C" w:rsidP="005E69AE">
      <w:r>
        <w:t xml:space="preserve">When considering the </w:t>
      </w:r>
      <w:r w:rsidR="009319B2">
        <w:t>transmitter performance, such as minimum peak EIRP and minimum spherical coverage EIRP, there are a number of factors which influence the transmitter conducted performance</w:t>
      </w:r>
      <w:r w:rsidR="00D641A4">
        <w:t xml:space="preserve"> (without the antennas)</w:t>
      </w:r>
      <w:r w:rsidR="009319B2">
        <w:t>.  These factors include the PA output power per antenna feed, mismatch and transmission line loss including load pull, phase shifter variation, Tx gain variation, and phase shifter loss.</w:t>
      </w:r>
      <w:r w:rsidR="00855C2A">
        <w:t xml:space="preserve">  Table 1 below summarizes these factors and provides </w:t>
      </w:r>
      <w:r w:rsidR="005C1A40">
        <w:t xml:space="preserve">possible bounds on the values based on concluded work on the 28 GHz and 39 GHz requirements as well as published literature </w:t>
      </w:r>
      <w:r w:rsidR="005C1A40">
        <w:fldChar w:fldCharType="begin"/>
      </w:r>
      <w:r w:rsidR="005C1A40">
        <w:instrText xml:space="preserve"> REF _Ref16542065 \r \h </w:instrText>
      </w:r>
      <w:r w:rsidR="005C1A40">
        <w:fldChar w:fldCharType="separate"/>
      </w:r>
      <w:r w:rsidR="00976630">
        <w:t>[5]</w:t>
      </w:r>
      <w:r w:rsidR="005C1A40">
        <w:fldChar w:fldCharType="end"/>
      </w:r>
      <w:r w:rsidR="005C1A40">
        <w:t xml:space="preserve">, </w:t>
      </w:r>
      <w:r w:rsidR="005C1A40">
        <w:fldChar w:fldCharType="begin"/>
      </w:r>
      <w:r w:rsidR="005C1A40">
        <w:instrText xml:space="preserve"> REF _Ref16541933 \r \h </w:instrText>
      </w:r>
      <w:r w:rsidR="005C1A40">
        <w:fldChar w:fldCharType="separate"/>
      </w:r>
      <w:r w:rsidR="00976630">
        <w:t>[6]</w:t>
      </w:r>
      <w:r w:rsidR="005C1A40">
        <w:fldChar w:fldCharType="end"/>
      </w:r>
      <w:r w:rsidR="005C1A40">
        <w:t xml:space="preserve">, </w:t>
      </w:r>
      <w:r w:rsidR="005C1A40">
        <w:fldChar w:fldCharType="begin"/>
      </w:r>
      <w:r w:rsidR="005C1A40">
        <w:instrText xml:space="preserve"> REF _Ref16541756 \r \h </w:instrText>
      </w:r>
      <w:r w:rsidR="005C1A40">
        <w:fldChar w:fldCharType="separate"/>
      </w:r>
      <w:r w:rsidR="00976630">
        <w:t>[7]</w:t>
      </w:r>
      <w:r w:rsidR="005C1A40">
        <w:fldChar w:fldCharType="end"/>
      </w:r>
      <w:r w:rsidR="005C1A40">
        <w:t>.</w:t>
      </w:r>
    </w:p>
    <w:p w14:paraId="3DDFE5A8" w14:textId="51FDE47F" w:rsidR="00857852" w:rsidRPr="004D3578" w:rsidRDefault="00857852" w:rsidP="00857852">
      <w:pPr>
        <w:pStyle w:val="TH"/>
      </w:pPr>
      <w:r w:rsidRPr="004D3578">
        <w:lastRenderedPageBreak/>
        <w:t xml:space="preserve">Table 1: </w:t>
      </w:r>
      <w:r w:rsidR="00A01E38">
        <w:t>Conducted Tx performance factors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855C2A" w:rsidRPr="004D3578" w14:paraId="37EAA002" w14:textId="77777777" w:rsidTr="00855C2A">
        <w:trPr>
          <w:jc w:val="center"/>
        </w:trPr>
        <w:tc>
          <w:tcPr>
            <w:tcW w:w="2464" w:type="dxa"/>
            <w:shd w:val="clear" w:color="auto" w:fill="D9D9D9"/>
          </w:tcPr>
          <w:p w14:paraId="517A33D3" w14:textId="0A847220" w:rsidR="00855C2A" w:rsidRPr="004D3578" w:rsidRDefault="00855C2A" w:rsidP="000F535A">
            <w:pPr>
              <w:pStyle w:val="TAH"/>
            </w:pPr>
            <w:r>
              <w:t>Parameter</w:t>
            </w:r>
          </w:p>
        </w:tc>
        <w:tc>
          <w:tcPr>
            <w:tcW w:w="2464" w:type="dxa"/>
            <w:shd w:val="clear" w:color="auto" w:fill="D9D9D9"/>
          </w:tcPr>
          <w:p w14:paraId="337934AE" w14:textId="1BC3C0FF" w:rsidR="00855C2A" w:rsidRDefault="00855C2A" w:rsidP="000F535A">
            <w:pPr>
              <w:pStyle w:val="TAH"/>
            </w:pPr>
            <w:r>
              <w:t>Units</w:t>
            </w:r>
          </w:p>
        </w:tc>
        <w:tc>
          <w:tcPr>
            <w:tcW w:w="2464" w:type="dxa"/>
            <w:shd w:val="clear" w:color="auto" w:fill="D9D9D9"/>
          </w:tcPr>
          <w:p w14:paraId="5822FEAA" w14:textId="72048BEF" w:rsidR="00855C2A" w:rsidRPr="004D3578" w:rsidRDefault="00855C2A" w:rsidP="000F535A">
            <w:pPr>
              <w:pStyle w:val="TAH"/>
            </w:pPr>
            <w:r>
              <w:t>Value</w:t>
            </w:r>
          </w:p>
        </w:tc>
        <w:tc>
          <w:tcPr>
            <w:tcW w:w="2464" w:type="dxa"/>
            <w:shd w:val="clear" w:color="auto" w:fill="D9D9D9"/>
          </w:tcPr>
          <w:p w14:paraId="5190B7DE" w14:textId="7EEE8114" w:rsidR="00855C2A" w:rsidRPr="004D3578" w:rsidRDefault="00855C2A" w:rsidP="000F535A">
            <w:pPr>
              <w:pStyle w:val="TAH"/>
            </w:pPr>
            <w:r>
              <w:t>Notes</w:t>
            </w:r>
          </w:p>
        </w:tc>
      </w:tr>
      <w:tr w:rsidR="00855C2A" w:rsidRPr="004D3578" w14:paraId="116619DB" w14:textId="77777777" w:rsidTr="00855C2A">
        <w:trPr>
          <w:jc w:val="center"/>
        </w:trPr>
        <w:tc>
          <w:tcPr>
            <w:tcW w:w="2464" w:type="dxa"/>
          </w:tcPr>
          <w:p w14:paraId="3F0936D5" w14:textId="4DEF9B63" w:rsidR="00855C2A" w:rsidRPr="004D3578" w:rsidRDefault="00855C2A" w:rsidP="000F535A">
            <w:pPr>
              <w:pStyle w:val="TAL"/>
            </w:pPr>
            <w:r>
              <w:t>P1</w:t>
            </w:r>
            <w:r w:rsidR="005A435A">
              <w:t>B</w:t>
            </w:r>
            <w:r>
              <w:t xml:space="preserve"> per PA</w:t>
            </w:r>
          </w:p>
        </w:tc>
        <w:tc>
          <w:tcPr>
            <w:tcW w:w="2464" w:type="dxa"/>
          </w:tcPr>
          <w:p w14:paraId="6E035304" w14:textId="3B158579" w:rsidR="00855C2A" w:rsidRDefault="00855C2A" w:rsidP="000F535A">
            <w:pPr>
              <w:pStyle w:val="TAC"/>
            </w:pPr>
            <w:r>
              <w:t>dBm</w:t>
            </w:r>
          </w:p>
        </w:tc>
        <w:tc>
          <w:tcPr>
            <w:tcW w:w="2464" w:type="dxa"/>
          </w:tcPr>
          <w:p w14:paraId="5F895581" w14:textId="77C773B2" w:rsidR="00855C2A" w:rsidRPr="004D3578" w:rsidRDefault="00855C2A" w:rsidP="000F535A">
            <w:pPr>
              <w:pStyle w:val="TAC"/>
            </w:pPr>
            <w:r>
              <w:t>x &lt; 12.0</w:t>
            </w:r>
          </w:p>
        </w:tc>
        <w:tc>
          <w:tcPr>
            <w:tcW w:w="2464" w:type="dxa"/>
          </w:tcPr>
          <w:p w14:paraId="32A224AF" w14:textId="3B3B942D" w:rsidR="00855C2A" w:rsidRPr="004D3578" w:rsidRDefault="00855C2A" w:rsidP="000F535A">
            <w:pPr>
              <w:pStyle w:val="TAR"/>
            </w:pPr>
            <w:r>
              <w:t>PA output power over PVT (assuming ETC)</w:t>
            </w:r>
          </w:p>
        </w:tc>
      </w:tr>
      <w:tr w:rsidR="00855C2A" w:rsidRPr="004D3578" w14:paraId="74A442CE" w14:textId="77777777" w:rsidTr="00855C2A">
        <w:trPr>
          <w:jc w:val="center"/>
        </w:trPr>
        <w:tc>
          <w:tcPr>
            <w:tcW w:w="2464" w:type="dxa"/>
          </w:tcPr>
          <w:p w14:paraId="5ADF1EBF" w14:textId="3A86A091" w:rsidR="00855C2A" w:rsidRPr="004D3578" w:rsidRDefault="00855C2A" w:rsidP="000F535A">
            <w:pPr>
              <w:pStyle w:val="TAL"/>
            </w:pPr>
            <w:r>
              <w:t>Phase shifter variation</w:t>
            </w:r>
          </w:p>
        </w:tc>
        <w:tc>
          <w:tcPr>
            <w:tcW w:w="2464" w:type="dxa"/>
          </w:tcPr>
          <w:p w14:paraId="35370436" w14:textId="59CAAD8C" w:rsidR="00855C2A" w:rsidRPr="004D3578" w:rsidRDefault="00855C2A" w:rsidP="000F535A">
            <w:pPr>
              <w:pStyle w:val="TAC"/>
            </w:pPr>
            <w:r>
              <w:t>º</w:t>
            </w:r>
          </w:p>
        </w:tc>
        <w:tc>
          <w:tcPr>
            <w:tcW w:w="2464" w:type="dxa"/>
          </w:tcPr>
          <w:p w14:paraId="3CAB667F" w14:textId="661444D7" w:rsidR="00855C2A" w:rsidRPr="004D3578" w:rsidRDefault="00855C2A" w:rsidP="000F535A">
            <w:pPr>
              <w:pStyle w:val="TAC"/>
            </w:pPr>
            <w:r>
              <w:t>x &gt; 2.0</w:t>
            </w:r>
          </w:p>
        </w:tc>
        <w:tc>
          <w:tcPr>
            <w:tcW w:w="2464" w:type="dxa"/>
            <w:vMerge w:val="restart"/>
          </w:tcPr>
          <w:p w14:paraId="1687D933" w14:textId="40C646EB" w:rsidR="00855C2A" w:rsidRPr="004D3578" w:rsidRDefault="00855C2A" w:rsidP="000F535A">
            <w:pPr>
              <w:pStyle w:val="TAR"/>
            </w:pPr>
            <w:r>
              <w:t xml:space="preserve">See </w:t>
            </w:r>
            <w:r>
              <w:fldChar w:fldCharType="begin"/>
            </w:r>
            <w:r>
              <w:instrText xml:space="preserve"> REF _Ref16541756 \r \h </w:instrText>
            </w:r>
            <w:r>
              <w:fldChar w:fldCharType="separate"/>
            </w:r>
            <w:r w:rsidR="00976630">
              <w:t>[7]</w:t>
            </w:r>
            <w:r>
              <w:fldChar w:fldCharType="end"/>
            </w:r>
            <w:r>
              <w:t xml:space="preserve"> for values associated with 28 GHz</w:t>
            </w:r>
          </w:p>
        </w:tc>
      </w:tr>
      <w:tr w:rsidR="00855C2A" w:rsidRPr="004D3578" w14:paraId="5A030104" w14:textId="77777777" w:rsidTr="00855C2A">
        <w:trPr>
          <w:jc w:val="center"/>
        </w:trPr>
        <w:tc>
          <w:tcPr>
            <w:tcW w:w="2464" w:type="dxa"/>
          </w:tcPr>
          <w:p w14:paraId="1833ADC9" w14:textId="208B413D" w:rsidR="00855C2A" w:rsidRPr="004D3578" w:rsidRDefault="00855C2A" w:rsidP="000F535A">
            <w:pPr>
              <w:pStyle w:val="TAL"/>
            </w:pPr>
            <w:r>
              <w:t>Phase shifter loss</w:t>
            </w:r>
          </w:p>
        </w:tc>
        <w:tc>
          <w:tcPr>
            <w:tcW w:w="2464" w:type="dxa"/>
          </w:tcPr>
          <w:p w14:paraId="6DD18041" w14:textId="60FBDF97" w:rsidR="00855C2A" w:rsidRPr="004D3578" w:rsidRDefault="00855C2A" w:rsidP="000F535A">
            <w:pPr>
              <w:pStyle w:val="TAC"/>
            </w:pPr>
            <w:r>
              <w:t>dB</w:t>
            </w:r>
          </w:p>
        </w:tc>
        <w:tc>
          <w:tcPr>
            <w:tcW w:w="2464" w:type="dxa"/>
          </w:tcPr>
          <w:p w14:paraId="119EB8E9" w14:textId="0DCA25B7" w:rsidR="00855C2A" w:rsidRPr="004D3578" w:rsidRDefault="00855C2A" w:rsidP="000F535A">
            <w:pPr>
              <w:pStyle w:val="TAC"/>
            </w:pPr>
            <w:r>
              <w:t>x &gt; 0.2</w:t>
            </w:r>
          </w:p>
        </w:tc>
        <w:tc>
          <w:tcPr>
            <w:tcW w:w="2464" w:type="dxa"/>
            <w:vMerge/>
          </w:tcPr>
          <w:p w14:paraId="112881AA" w14:textId="77777777" w:rsidR="00855C2A" w:rsidRPr="004D3578" w:rsidRDefault="00855C2A" w:rsidP="000F535A">
            <w:pPr>
              <w:pStyle w:val="TAR"/>
            </w:pPr>
          </w:p>
        </w:tc>
      </w:tr>
      <w:tr w:rsidR="00855C2A" w:rsidRPr="004D3578" w14:paraId="55D072C9" w14:textId="77777777" w:rsidTr="00855C2A">
        <w:trPr>
          <w:jc w:val="center"/>
        </w:trPr>
        <w:tc>
          <w:tcPr>
            <w:tcW w:w="2464" w:type="dxa"/>
          </w:tcPr>
          <w:p w14:paraId="2C26534C" w14:textId="79426061" w:rsidR="00855C2A" w:rsidRPr="004D3578" w:rsidRDefault="00855C2A" w:rsidP="000F535A">
            <w:pPr>
              <w:pStyle w:val="TAL"/>
            </w:pPr>
            <w:r>
              <w:t>Tx gain variation</w:t>
            </w:r>
          </w:p>
        </w:tc>
        <w:tc>
          <w:tcPr>
            <w:tcW w:w="2464" w:type="dxa"/>
          </w:tcPr>
          <w:p w14:paraId="34978DFC" w14:textId="35A01D6F" w:rsidR="00855C2A" w:rsidRPr="004D3578" w:rsidRDefault="00855C2A" w:rsidP="000F535A">
            <w:pPr>
              <w:pStyle w:val="TAC"/>
            </w:pPr>
            <w:r>
              <w:t>dB</w:t>
            </w:r>
          </w:p>
        </w:tc>
        <w:tc>
          <w:tcPr>
            <w:tcW w:w="2464" w:type="dxa"/>
          </w:tcPr>
          <w:p w14:paraId="5556590F" w14:textId="280F90E8" w:rsidR="00855C2A" w:rsidRPr="004D3578" w:rsidRDefault="00855C2A" w:rsidP="000F535A">
            <w:pPr>
              <w:pStyle w:val="TAC"/>
            </w:pPr>
            <w:r>
              <w:t>x &gt; 0.8</w:t>
            </w:r>
          </w:p>
        </w:tc>
        <w:tc>
          <w:tcPr>
            <w:tcW w:w="2464" w:type="dxa"/>
            <w:vMerge/>
          </w:tcPr>
          <w:p w14:paraId="6CA3751B" w14:textId="77777777" w:rsidR="00855C2A" w:rsidRPr="004D3578" w:rsidRDefault="00855C2A" w:rsidP="000F535A">
            <w:pPr>
              <w:pStyle w:val="TAR"/>
            </w:pPr>
          </w:p>
        </w:tc>
      </w:tr>
    </w:tbl>
    <w:p w14:paraId="2211FEF1" w14:textId="4F336610" w:rsidR="005C1A40" w:rsidRDefault="005C1A40" w:rsidP="005E69AE"/>
    <w:p w14:paraId="01DF585F" w14:textId="477EB527" w:rsidR="00A01E38" w:rsidRDefault="00A01E38" w:rsidP="00A01E38">
      <w:pPr>
        <w:pStyle w:val="Proposal"/>
      </w:pPr>
      <w:bookmarkStart w:id="1" w:name="_Toc16550838"/>
      <w:bookmarkStart w:id="2" w:name="_Toc16573703"/>
      <w:r>
        <w:t>Proposal 1:</w:t>
      </w:r>
      <w:r>
        <w:tab/>
        <w:t>Input from companies to finalize the conducted Tx performance factors is encouraged.</w:t>
      </w:r>
      <w:bookmarkEnd w:id="1"/>
      <w:bookmarkEnd w:id="2"/>
      <w:r>
        <w:t xml:space="preserve"> </w:t>
      </w:r>
    </w:p>
    <w:p w14:paraId="3CAE7341" w14:textId="64C1CFE1" w:rsidR="005E69AE" w:rsidRDefault="005E69AE" w:rsidP="00FB7CBD">
      <w:pPr>
        <w:pStyle w:val="Heading3"/>
      </w:pPr>
      <w:r>
        <w:t>2.</w:t>
      </w:r>
      <w:r w:rsidR="00FB7CBD">
        <w:t>1.2</w:t>
      </w:r>
      <w:r>
        <w:tab/>
      </w:r>
      <w:r w:rsidR="00FB7CBD">
        <w:t>Assumptions on receiver components’ performance</w:t>
      </w:r>
    </w:p>
    <w:p w14:paraId="33619B10" w14:textId="2E81B6D8" w:rsidR="00855C2A" w:rsidRDefault="00855C2A" w:rsidP="00855C2A">
      <w:r>
        <w:t xml:space="preserve">When considering the </w:t>
      </w:r>
      <w:r w:rsidR="00D641A4">
        <w:t>receiver</w:t>
      </w:r>
      <w:r>
        <w:t xml:space="preserve"> performance, such as </w:t>
      </w:r>
      <w:r w:rsidR="00D641A4">
        <w:t>maximum</w:t>
      </w:r>
      <w:r>
        <w:t xml:space="preserve"> peak EI</w:t>
      </w:r>
      <w:r w:rsidR="00D641A4">
        <w:t>S</w:t>
      </w:r>
      <w:r>
        <w:t xml:space="preserve"> and </w:t>
      </w:r>
      <w:r w:rsidR="00D641A4">
        <w:t>maximum</w:t>
      </w:r>
      <w:r>
        <w:t xml:space="preserve"> spherical coverage </w:t>
      </w:r>
      <w:r w:rsidR="00D641A4">
        <w:t>EIS</w:t>
      </w:r>
      <w:r>
        <w:t xml:space="preserve">, there are a number of factors which influence the </w:t>
      </w:r>
      <w:r w:rsidR="00D641A4">
        <w:t>receiver</w:t>
      </w:r>
      <w:r>
        <w:t xml:space="preserve"> conducted performance</w:t>
      </w:r>
      <w:r w:rsidR="00D641A4">
        <w:t xml:space="preserve"> (without the antennas)</w:t>
      </w:r>
      <w:r>
        <w:t xml:space="preserve">.  These factors include the </w:t>
      </w:r>
      <w:r w:rsidR="00D641A4">
        <w:t>noise figure of the receiver</w:t>
      </w:r>
      <w:r>
        <w:t xml:space="preserve">, mismatch and transmission line loss, phase shifter variation, </w:t>
      </w:r>
      <w:r w:rsidR="00D641A4">
        <w:t>R</w:t>
      </w:r>
      <w:r>
        <w:t xml:space="preserve">x gain variation, and phase shifter loss.  </w:t>
      </w:r>
      <w:r w:rsidR="003F147E">
        <w:t xml:space="preserve">Table 2 below summarizes these factors and provides possible bounds on the values based on concluded work on the 28 GHz and 39 GHz requirements as well as published literature </w:t>
      </w:r>
      <w:r w:rsidR="003F147E">
        <w:fldChar w:fldCharType="begin"/>
      </w:r>
      <w:r w:rsidR="003F147E">
        <w:instrText xml:space="preserve"> REF _Ref16541933 \r \h </w:instrText>
      </w:r>
      <w:r w:rsidR="003F147E">
        <w:fldChar w:fldCharType="separate"/>
      </w:r>
      <w:r w:rsidR="00976630">
        <w:t>[6]</w:t>
      </w:r>
      <w:r w:rsidR="003F147E">
        <w:fldChar w:fldCharType="end"/>
      </w:r>
      <w:r w:rsidR="003F147E">
        <w:t xml:space="preserve">, </w:t>
      </w:r>
      <w:r w:rsidR="003F147E">
        <w:fldChar w:fldCharType="begin"/>
      </w:r>
      <w:r w:rsidR="003F147E">
        <w:instrText xml:space="preserve"> REF _Ref16541756 \r \h </w:instrText>
      </w:r>
      <w:r w:rsidR="003F147E">
        <w:fldChar w:fldCharType="separate"/>
      </w:r>
      <w:r w:rsidR="00976630">
        <w:t>[7]</w:t>
      </w:r>
      <w:r w:rsidR="003F147E">
        <w:fldChar w:fldCharType="end"/>
      </w:r>
      <w:r w:rsidR="003F147E">
        <w:t xml:space="preserve">, </w:t>
      </w:r>
      <w:r w:rsidR="003F147E">
        <w:fldChar w:fldCharType="begin"/>
      </w:r>
      <w:r w:rsidR="003F147E">
        <w:instrText xml:space="preserve"> REF _Ref16542417 \r \h </w:instrText>
      </w:r>
      <w:r w:rsidR="003F147E">
        <w:fldChar w:fldCharType="separate"/>
      </w:r>
      <w:r w:rsidR="00976630">
        <w:t>[8]</w:t>
      </w:r>
      <w:r w:rsidR="003F147E">
        <w:fldChar w:fldCharType="end"/>
      </w:r>
      <w:r w:rsidR="003F147E">
        <w:t>.</w:t>
      </w:r>
    </w:p>
    <w:p w14:paraId="42867819" w14:textId="0CE45123" w:rsidR="00855C2A" w:rsidRPr="004D3578" w:rsidRDefault="00855C2A" w:rsidP="00855C2A">
      <w:pPr>
        <w:pStyle w:val="TH"/>
      </w:pPr>
      <w:r w:rsidRPr="004D3578">
        <w:t xml:space="preserve">Table </w:t>
      </w:r>
      <w:r w:rsidR="00D641A4">
        <w:t>2</w:t>
      </w:r>
      <w:r w:rsidRPr="004D3578">
        <w:t xml:space="preserve">: </w:t>
      </w:r>
      <w:r w:rsidR="00460223">
        <w:t>Conducted Rx performance factors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855C2A" w:rsidRPr="004D3578" w14:paraId="00F8DEA5" w14:textId="77777777" w:rsidTr="000F535A">
        <w:trPr>
          <w:jc w:val="center"/>
        </w:trPr>
        <w:tc>
          <w:tcPr>
            <w:tcW w:w="2464" w:type="dxa"/>
            <w:shd w:val="clear" w:color="auto" w:fill="D9D9D9"/>
          </w:tcPr>
          <w:p w14:paraId="3BBA3544" w14:textId="77777777" w:rsidR="00855C2A" w:rsidRPr="004D3578" w:rsidRDefault="00855C2A" w:rsidP="000F535A">
            <w:pPr>
              <w:pStyle w:val="TAH"/>
            </w:pPr>
            <w:r>
              <w:t>Parameter</w:t>
            </w:r>
          </w:p>
        </w:tc>
        <w:tc>
          <w:tcPr>
            <w:tcW w:w="2464" w:type="dxa"/>
            <w:shd w:val="clear" w:color="auto" w:fill="D9D9D9"/>
          </w:tcPr>
          <w:p w14:paraId="719A57E7" w14:textId="77777777" w:rsidR="00855C2A" w:rsidRDefault="00855C2A" w:rsidP="000F535A">
            <w:pPr>
              <w:pStyle w:val="TAH"/>
            </w:pPr>
            <w:r>
              <w:t>Units</w:t>
            </w:r>
          </w:p>
        </w:tc>
        <w:tc>
          <w:tcPr>
            <w:tcW w:w="2464" w:type="dxa"/>
            <w:shd w:val="clear" w:color="auto" w:fill="D9D9D9"/>
          </w:tcPr>
          <w:p w14:paraId="492B2FD4" w14:textId="77777777" w:rsidR="00855C2A" w:rsidRPr="004D3578" w:rsidRDefault="00855C2A" w:rsidP="000F535A">
            <w:pPr>
              <w:pStyle w:val="TAH"/>
            </w:pPr>
            <w:r>
              <w:t>Value</w:t>
            </w:r>
          </w:p>
        </w:tc>
        <w:tc>
          <w:tcPr>
            <w:tcW w:w="2464" w:type="dxa"/>
            <w:shd w:val="clear" w:color="auto" w:fill="D9D9D9"/>
          </w:tcPr>
          <w:p w14:paraId="18D6BC0C" w14:textId="77777777" w:rsidR="00855C2A" w:rsidRPr="004D3578" w:rsidRDefault="00855C2A" w:rsidP="000F535A">
            <w:pPr>
              <w:pStyle w:val="TAH"/>
            </w:pPr>
            <w:r>
              <w:t>Notes</w:t>
            </w:r>
          </w:p>
        </w:tc>
      </w:tr>
      <w:tr w:rsidR="00855C2A" w:rsidRPr="004D3578" w14:paraId="3F2EB4FC" w14:textId="77777777" w:rsidTr="000F535A">
        <w:trPr>
          <w:jc w:val="center"/>
        </w:trPr>
        <w:tc>
          <w:tcPr>
            <w:tcW w:w="2464" w:type="dxa"/>
          </w:tcPr>
          <w:p w14:paraId="668221F4" w14:textId="48A6559A" w:rsidR="00855C2A" w:rsidRPr="004D3578" w:rsidRDefault="00855C2A" w:rsidP="000F535A">
            <w:pPr>
              <w:pStyle w:val="TAL"/>
            </w:pPr>
            <w:r>
              <w:t>Receiver noise figure</w:t>
            </w:r>
          </w:p>
        </w:tc>
        <w:tc>
          <w:tcPr>
            <w:tcW w:w="2464" w:type="dxa"/>
          </w:tcPr>
          <w:p w14:paraId="295D6875" w14:textId="625080E1" w:rsidR="00855C2A" w:rsidRDefault="00855C2A" w:rsidP="000F535A">
            <w:pPr>
              <w:pStyle w:val="TAC"/>
            </w:pPr>
            <w:r>
              <w:t>dB</w:t>
            </w:r>
          </w:p>
        </w:tc>
        <w:tc>
          <w:tcPr>
            <w:tcW w:w="2464" w:type="dxa"/>
          </w:tcPr>
          <w:p w14:paraId="7F7D1522" w14:textId="56820B5C" w:rsidR="00855C2A" w:rsidRPr="004D3578" w:rsidRDefault="00855C2A" w:rsidP="000F535A">
            <w:pPr>
              <w:pStyle w:val="TAC"/>
            </w:pPr>
            <w:r>
              <w:t>x &gt; 10.0</w:t>
            </w:r>
          </w:p>
        </w:tc>
        <w:tc>
          <w:tcPr>
            <w:tcW w:w="2464" w:type="dxa"/>
          </w:tcPr>
          <w:p w14:paraId="7CA0C83D" w14:textId="67B5A1B2" w:rsidR="00855C2A" w:rsidRPr="004D3578" w:rsidRDefault="00855C2A" w:rsidP="000F535A">
            <w:pPr>
              <w:pStyle w:val="TAR"/>
            </w:pPr>
            <w:r>
              <w:t>Assuming ETC</w:t>
            </w:r>
          </w:p>
        </w:tc>
      </w:tr>
      <w:tr w:rsidR="00855C2A" w:rsidRPr="004D3578" w14:paraId="64859371" w14:textId="77777777" w:rsidTr="000F535A">
        <w:trPr>
          <w:jc w:val="center"/>
        </w:trPr>
        <w:tc>
          <w:tcPr>
            <w:tcW w:w="2464" w:type="dxa"/>
          </w:tcPr>
          <w:p w14:paraId="7DE205E1" w14:textId="77777777" w:rsidR="00855C2A" w:rsidRPr="004D3578" w:rsidRDefault="00855C2A" w:rsidP="000F535A">
            <w:pPr>
              <w:pStyle w:val="TAL"/>
            </w:pPr>
            <w:r>
              <w:t>Phase shifter variation</w:t>
            </w:r>
          </w:p>
        </w:tc>
        <w:tc>
          <w:tcPr>
            <w:tcW w:w="2464" w:type="dxa"/>
          </w:tcPr>
          <w:p w14:paraId="63087CE0" w14:textId="77777777" w:rsidR="00855C2A" w:rsidRPr="004D3578" w:rsidRDefault="00855C2A" w:rsidP="000F535A">
            <w:pPr>
              <w:pStyle w:val="TAC"/>
            </w:pPr>
            <w:r>
              <w:t>º</w:t>
            </w:r>
          </w:p>
        </w:tc>
        <w:tc>
          <w:tcPr>
            <w:tcW w:w="2464" w:type="dxa"/>
          </w:tcPr>
          <w:p w14:paraId="57AB8C31" w14:textId="77777777" w:rsidR="00855C2A" w:rsidRPr="004D3578" w:rsidRDefault="00855C2A" w:rsidP="000F535A">
            <w:pPr>
              <w:pStyle w:val="TAC"/>
            </w:pPr>
            <w:r>
              <w:t>x &gt; 2.0</w:t>
            </w:r>
          </w:p>
        </w:tc>
        <w:tc>
          <w:tcPr>
            <w:tcW w:w="2464" w:type="dxa"/>
            <w:vMerge w:val="restart"/>
          </w:tcPr>
          <w:p w14:paraId="6B2E2670" w14:textId="3ED8AB3B" w:rsidR="00855C2A" w:rsidRPr="004D3578" w:rsidRDefault="00855C2A" w:rsidP="000F535A">
            <w:pPr>
              <w:pStyle w:val="TAR"/>
            </w:pPr>
            <w:r>
              <w:t xml:space="preserve">See </w:t>
            </w:r>
            <w:r>
              <w:fldChar w:fldCharType="begin"/>
            </w:r>
            <w:r>
              <w:instrText xml:space="preserve"> REF _Ref16541756 \r \h </w:instrText>
            </w:r>
            <w:r>
              <w:fldChar w:fldCharType="separate"/>
            </w:r>
            <w:r w:rsidR="00976630">
              <w:t>[7]</w:t>
            </w:r>
            <w:r>
              <w:fldChar w:fldCharType="end"/>
            </w:r>
            <w:r>
              <w:t xml:space="preserve"> for values associated with 28 GHz</w:t>
            </w:r>
          </w:p>
        </w:tc>
      </w:tr>
      <w:tr w:rsidR="00855C2A" w:rsidRPr="004D3578" w14:paraId="7F10E7C1" w14:textId="77777777" w:rsidTr="000F535A">
        <w:trPr>
          <w:jc w:val="center"/>
        </w:trPr>
        <w:tc>
          <w:tcPr>
            <w:tcW w:w="2464" w:type="dxa"/>
          </w:tcPr>
          <w:p w14:paraId="73764085" w14:textId="77777777" w:rsidR="00855C2A" w:rsidRPr="004D3578" w:rsidRDefault="00855C2A" w:rsidP="000F535A">
            <w:pPr>
              <w:pStyle w:val="TAL"/>
            </w:pPr>
            <w:r>
              <w:t>Phase shifter loss</w:t>
            </w:r>
          </w:p>
        </w:tc>
        <w:tc>
          <w:tcPr>
            <w:tcW w:w="2464" w:type="dxa"/>
          </w:tcPr>
          <w:p w14:paraId="1A9632CB" w14:textId="77777777" w:rsidR="00855C2A" w:rsidRPr="004D3578" w:rsidRDefault="00855C2A" w:rsidP="000F535A">
            <w:pPr>
              <w:pStyle w:val="TAC"/>
            </w:pPr>
            <w:r>
              <w:t>dB</w:t>
            </w:r>
          </w:p>
        </w:tc>
        <w:tc>
          <w:tcPr>
            <w:tcW w:w="2464" w:type="dxa"/>
          </w:tcPr>
          <w:p w14:paraId="0F274E9F" w14:textId="77777777" w:rsidR="00855C2A" w:rsidRPr="004D3578" w:rsidRDefault="00855C2A" w:rsidP="000F535A">
            <w:pPr>
              <w:pStyle w:val="TAC"/>
            </w:pPr>
            <w:r>
              <w:t>x &gt; 0.2</w:t>
            </w:r>
          </w:p>
        </w:tc>
        <w:tc>
          <w:tcPr>
            <w:tcW w:w="2464" w:type="dxa"/>
            <w:vMerge/>
          </w:tcPr>
          <w:p w14:paraId="71FFD811" w14:textId="77777777" w:rsidR="00855C2A" w:rsidRPr="004D3578" w:rsidRDefault="00855C2A" w:rsidP="000F535A">
            <w:pPr>
              <w:pStyle w:val="TAR"/>
            </w:pPr>
          </w:p>
        </w:tc>
      </w:tr>
      <w:tr w:rsidR="00855C2A" w:rsidRPr="004D3578" w14:paraId="1B97901F" w14:textId="77777777" w:rsidTr="000F535A">
        <w:trPr>
          <w:jc w:val="center"/>
        </w:trPr>
        <w:tc>
          <w:tcPr>
            <w:tcW w:w="2464" w:type="dxa"/>
          </w:tcPr>
          <w:p w14:paraId="4697C063" w14:textId="77777777" w:rsidR="00855C2A" w:rsidRPr="004D3578" w:rsidRDefault="00855C2A" w:rsidP="000F535A">
            <w:pPr>
              <w:pStyle w:val="TAL"/>
            </w:pPr>
            <w:r>
              <w:t>Tx gain variation</w:t>
            </w:r>
          </w:p>
        </w:tc>
        <w:tc>
          <w:tcPr>
            <w:tcW w:w="2464" w:type="dxa"/>
          </w:tcPr>
          <w:p w14:paraId="46BC77BF" w14:textId="77777777" w:rsidR="00855C2A" w:rsidRPr="004D3578" w:rsidRDefault="00855C2A" w:rsidP="000F535A">
            <w:pPr>
              <w:pStyle w:val="TAC"/>
            </w:pPr>
            <w:r>
              <w:t>dB</w:t>
            </w:r>
          </w:p>
        </w:tc>
        <w:tc>
          <w:tcPr>
            <w:tcW w:w="2464" w:type="dxa"/>
          </w:tcPr>
          <w:p w14:paraId="474AB5CD" w14:textId="77777777" w:rsidR="00855C2A" w:rsidRPr="004D3578" w:rsidRDefault="00855C2A" w:rsidP="000F535A">
            <w:pPr>
              <w:pStyle w:val="TAC"/>
            </w:pPr>
            <w:r>
              <w:t>x &gt; 0.8</w:t>
            </w:r>
          </w:p>
        </w:tc>
        <w:tc>
          <w:tcPr>
            <w:tcW w:w="2464" w:type="dxa"/>
            <w:vMerge/>
          </w:tcPr>
          <w:p w14:paraId="182D4407" w14:textId="77777777" w:rsidR="00855C2A" w:rsidRPr="004D3578" w:rsidRDefault="00855C2A" w:rsidP="000F535A">
            <w:pPr>
              <w:pStyle w:val="TAR"/>
            </w:pPr>
          </w:p>
        </w:tc>
      </w:tr>
    </w:tbl>
    <w:p w14:paraId="1D155EA6" w14:textId="52049BCD" w:rsidR="005E69AE" w:rsidRDefault="005E69AE" w:rsidP="008E7986"/>
    <w:p w14:paraId="15D9F5FF" w14:textId="0D42E74E" w:rsidR="00A01E38" w:rsidRDefault="00A01E38" w:rsidP="00A01E38">
      <w:pPr>
        <w:pStyle w:val="Proposal"/>
      </w:pPr>
      <w:bookmarkStart w:id="3" w:name="_Toc16550839"/>
      <w:bookmarkStart w:id="4" w:name="_Toc16573704"/>
      <w:r>
        <w:t xml:space="preserve">Proposal </w:t>
      </w:r>
      <w:r w:rsidR="008E4697">
        <w:t>2</w:t>
      </w:r>
      <w:r>
        <w:t>:</w:t>
      </w:r>
      <w:r>
        <w:tab/>
        <w:t>Input from companies to finalize the conducted Rx performance factors is encouraged.</w:t>
      </w:r>
      <w:bookmarkEnd w:id="3"/>
      <w:bookmarkEnd w:id="4"/>
      <w:r>
        <w:t xml:space="preserve"> </w:t>
      </w:r>
    </w:p>
    <w:p w14:paraId="67B1AAE5" w14:textId="0C5D9C38" w:rsidR="00247926" w:rsidRDefault="00247926" w:rsidP="00FB7CBD">
      <w:pPr>
        <w:pStyle w:val="Heading3"/>
      </w:pPr>
      <w:r>
        <w:t>2.</w:t>
      </w:r>
      <w:r w:rsidR="00FB7CBD">
        <w:t>1.3</w:t>
      </w:r>
      <w:r>
        <w:tab/>
      </w:r>
      <w:r w:rsidR="00FB7CBD">
        <w:t>Assumptions on antenna array performance</w:t>
      </w:r>
    </w:p>
    <w:p w14:paraId="7C71919D" w14:textId="62B13737" w:rsidR="00247926" w:rsidRDefault="00626A6B" w:rsidP="00247926">
      <w:r>
        <w:t>To build the analytical model for patch array scanning performance in the presence of glass, we refer to Figure 1 below.</w:t>
      </w:r>
    </w:p>
    <w:p w14:paraId="43A01BE3" w14:textId="77777777" w:rsidR="00626A6B" w:rsidRDefault="00626A6B" w:rsidP="00247926"/>
    <w:p w14:paraId="3F538001" w14:textId="72B35E4A" w:rsidR="002B33DF" w:rsidRDefault="002B33DF" w:rsidP="00247926">
      <w:r w:rsidRPr="002B33DF">
        <w:rPr>
          <w:noProof/>
        </w:rPr>
        <w:drawing>
          <wp:inline distT="0" distB="0" distL="0" distR="0" wp14:anchorId="6635307F" wp14:editId="64DE01DE">
            <wp:extent cx="6122035" cy="1567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567180"/>
                    </a:xfrm>
                    <a:prstGeom prst="rect">
                      <a:avLst/>
                    </a:prstGeom>
                  </pic:spPr>
                </pic:pic>
              </a:graphicData>
            </a:graphic>
          </wp:inline>
        </w:drawing>
      </w:r>
    </w:p>
    <w:p w14:paraId="151935A3" w14:textId="48759FA5" w:rsidR="003865BF" w:rsidRPr="004D3578" w:rsidRDefault="003865BF" w:rsidP="003865BF">
      <w:pPr>
        <w:pStyle w:val="TF"/>
      </w:pPr>
      <w:r w:rsidRPr="004D3578">
        <w:t xml:space="preserve">Figure 1: </w:t>
      </w:r>
      <w:r>
        <w:t>Analytical model for patch array + glass</w:t>
      </w:r>
      <w:r w:rsidRPr="004D3578">
        <w:t xml:space="preserve"> </w:t>
      </w:r>
    </w:p>
    <w:p w14:paraId="3A0BDB72" w14:textId="5D8F33B2" w:rsidR="002B33DF" w:rsidRDefault="002B33DF" w:rsidP="00247926"/>
    <w:p w14:paraId="79B485F5" w14:textId="52CC9D31" w:rsidR="00626A6B" w:rsidRDefault="00626A6B" w:rsidP="00626A6B">
      <w:r>
        <w:t xml:space="preserve">For this analysis we </w:t>
      </w:r>
      <w:r w:rsidR="00FB109C">
        <w:t xml:space="preserve">define </w:t>
      </w:r>
      <w:r>
        <w:t>efficiency as:</w:t>
      </w:r>
    </w:p>
    <w:p w14:paraId="6E325414" w14:textId="593A0FA0" w:rsidR="00626A6B" w:rsidRDefault="00626A6B" w:rsidP="00626A6B">
      <m:oMath>
        <m:r>
          <w:rPr>
            <w:rFonts w:ascii="Cambria Math" w:hAnsi="Cambria Math"/>
          </w:rPr>
          <m:t>η=</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rad</m:t>
                </m:r>
              </m:sub>
            </m:sSub>
          </m:num>
          <m:den>
            <m:sSub>
              <m:sSubPr>
                <m:ctrlPr>
                  <w:rPr>
                    <w:rFonts w:ascii="Cambria Math" w:hAnsi="Cambria Math"/>
                    <w:i/>
                  </w:rPr>
                </m:ctrlPr>
              </m:sSubPr>
              <m:e>
                <m:r>
                  <w:rPr>
                    <w:rFonts w:ascii="Cambria Math" w:hAnsi="Cambria Math"/>
                  </w:rPr>
                  <m:t>P</m:t>
                </m:r>
              </m:e>
              <m:sub>
                <m:r>
                  <w:rPr>
                    <w:rFonts w:ascii="Cambria Math" w:hAnsi="Cambria Math"/>
                  </w:rPr>
                  <m:t>rad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loss</m:t>
                </m:r>
              </m:sub>
            </m:sSub>
          </m:den>
        </m:f>
      </m:oMath>
      <w:r w:rsidR="00FB109C">
        <w:t>, where</w:t>
      </w:r>
      <w:r w:rsidR="005A435A">
        <w:t xml:space="preserve"> [</w:t>
      </w:r>
      <w:r w:rsidR="00F36A5E">
        <w:t>9]</w:t>
      </w:r>
    </w:p>
    <w:p w14:paraId="05F1411E" w14:textId="1D3ABF04" w:rsidR="00626A6B" w:rsidRDefault="00FB109C" w:rsidP="00FB109C">
      <w:pPr>
        <w:pStyle w:val="B1"/>
      </w:pPr>
      <w:r>
        <w:rPr>
          <w:i/>
        </w:rPr>
        <w:t>-</w:t>
      </w:r>
      <w:r>
        <w:rPr>
          <w:i/>
        </w:rPr>
        <w:tab/>
      </w:r>
      <w:r w:rsidR="00626A6B" w:rsidRPr="00FB109C">
        <w:rPr>
          <w:i/>
        </w:rPr>
        <w:t>P</w:t>
      </w:r>
      <w:r w:rsidR="00626A6B" w:rsidRPr="00FB109C">
        <w:rPr>
          <w:i/>
          <w:vertAlign w:val="subscript"/>
        </w:rPr>
        <w:t>rad</w:t>
      </w:r>
      <w:r w:rsidR="00626A6B" w:rsidRPr="00FB109C">
        <w:rPr>
          <w:i/>
        </w:rPr>
        <w:t xml:space="preserve"> </w:t>
      </w:r>
      <w:r>
        <w:t>is c</w:t>
      </w:r>
      <w:r w:rsidR="00626A6B">
        <w:t>alculated from equivalent transmission-line model (angle, polarization dependent)</w:t>
      </w:r>
      <w:r w:rsidR="005A435A">
        <w:t xml:space="preserve"> [</w:t>
      </w:r>
      <w:r w:rsidR="00F36A5E">
        <w:t>10]</w:t>
      </w:r>
    </w:p>
    <w:p w14:paraId="135BDEBD" w14:textId="7C28F0DD" w:rsidR="00626A6B" w:rsidRDefault="00FB109C" w:rsidP="00FB109C">
      <w:pPr>
        <w:pStyle w:val="B1"/>
      </w:pPr>
      <w:r>
        <w:rPr>
          <w:i/>
        </w:rPr>
        <w:t>-</w:t>
      </w:r>
      <w:r>
        <w:rPr>
          <w:i/>
        </w:rPr>
        <w:tab/>
      </w:r>
      <w:r w:rsidR="00626A6B" w:rsidRPr="00FB109C">
        <w:rPr>
          <w:i/>
        </w:rPr>
        <w:t>P</w:t>
      </w:r>
      <w:r w:rsidR="00626A6B" w:rsidRPr="00FB109C">
        <w:rPr>
          <w:i/>
          <w:vertAlign w:val="subscript"/>
        </w:rPr>
        <w:t>sw</w:t>
      </w:r>
      <w:r w:rsidR="00626A6B">
        <w:t xml:space="preserve"> </w:t>
      </w:r>
      <w:r>
        <w:t>is c</w:t>
      </w:r>
      <w:r w:rsidR="00626A6B">
        <w:t>alculated using equivalent magnetic dipoles from patch edges</w:t>
      </w:r>
      <w:r w:rsidR="00F36A5E">
        <w:t xml:space="preserve"> [11]</w:t>
      </w:r>
    </w:p>
    <w:p w14:paraId="467CAD09" w14:textId="704FD77B" w:rsidR="00626A6B" w:rsidRDefault="00FB109C" w:rsidP="00FB109C">
      <w:pPr>
        <w:pStyle w:val="B1"/>
      </w:pPr>
      <w:r>
        <w:rPr>
          <w:i/>
        </w:rPr>
        <w:t>-</w:t>
      </w:r>
      <w:r>
        <w:rPr>
          <w:i/>
        </w:rPr>
        <w:tab/>
      </w:r>
      <w:r w:rsidR="00626A6B" w:rsidRPr="00FB109C">
        <w:rPr>
          <w:i/>
        </w:rPr>
        <w:t>P</w:t>
      </w:r>
      <w:r w:rsidR="00626A6B" w:rsidRPr="00FB109C">
        <w:rPr>
          <w:i/>
          <w:vertAlign w:val="subscript"/>
        </w:rPr>
        <w:t>loss</w:t>
      </w:r>
      <w:r w:rsidR="00626A6B">
        <w:t xml:space="preserve"> </w:t>
      </w:r>
      <w:r>
        <w:t>is c</w:t>
      </w:r>
      <w:r w:rsidR="00626A6B">
        <w:t xml:space="preserve">alculated from standard patch model </w:t>
      </w:r>
      <w:r w:rsidR="00F36A5E">
        <w:t>[12]</w:t>
      </w:r>
    </w:p>
    <w:p w14:paraId="38070AD6" w14:textId="0F53C9EB" w:rsidR="00626A6B" w:rsidRDefault="00FB109C" w:rsidP="00626A6B">
      <w:r>
        <w:t>We further make the following a</w:t>
      </w:r>
      <w:r w:rsidR="00626A6B">
        <w:t>ssumptions in theoretical calculation:</w:t>
      </w:r>
    </w:p>
    <w:p w14:paraId="0137820C" w14:textId="0FACFCD4" w:rsidR="00626A6B" w:rsidRPr="00FB109C" w:rsidRDefault="00FB109C" w:rsidP="00FB109C">
      <w:pPr>
        <w:pStyle w:val="B1"/>
      </w:pPr>
      <w:r>
        <w:lastRenderedPageBreak/>
        <w:t>-</w:t>
      </w:r>
      <w:r>
        <w:tab/>
      </w:r>
      <w:r w:rsidR="00626A6B" w:rsidRPr="00FB109C">
        <w:t>Ideal patch antennas (TE10 cavity model</w:t>
      </w:r>
      <w:r w:rsidR="0019352A">
        <w:t xml:space="preserve">; 4 elements; </w:t>
      </w:r>
      <w:r w:rsidR="0019352A">
        <w:rPr>
          <w:lang w:val="el-GR"/>
        </w:rPr>
        <w:t>λ</w:t>
      </w:r>
      <w:r w:rsidR="0019352A">
        <w:rPr>
          <w:lang w:val="en-US"/>
        </w:rPr>
        <w:t>/2 spacing</w:t>
      </w:r>
      <w:r w:rsidR="00626A6B" w:rsidRPr="00FB109C">
        <w:t>)</w:t>
      </w:r>
    </w:p>
    <w:p w14:paraId="4984B2B7" w14:textId="49AD4E90" w:rsidR="00626A6B" w:rsidRPr="00FB109C" w:rsidRDefault="00FB109C" w:rsidP="00FB109C">
      <w:pPr>
        <w:pStyle w:val="B1"/>
      </w:pPr>
      <w:r>
        <w:t>-</w:t>
      </w:r>
      <w:r>
        <w:tab/>
      </w:r>
      <w:r w:rsidR="00626A6B" w:rsidRPr="00FB109C">
        <w:t>Infinite layers (</w:t>
      </w:r>
      <w:r w:rsidR="005A435A">
        <w:t xml:space="preserve">surface waves act as loss, with </w:t>
      </w:r>
      <w:r w:rsidR="00626A6B" w:rsidRPr="00FB109C">
        <w:t>no edge effects from</w:t>
      </w:r>
      <w:r w:rsidR="005A435A">
        <w:t xml:space="preserve"> a</w:t>
      </w:r>
      <w:r w:rsidR="00626A6B" w:rsidRPr="00FB109C">
        <w:t xml:space="preserve"> </w:t>
      </w:r>
      <w:r w:rsidR="005A435A">
        <w:t>finite cover layer</w:t>
      </w:r>
      <w:r w:rsidR="00626A6B" w:rsidRPr="00FB109C">
        <w:t>)</w:t>
      </w:r>
    </w:p>
    <w:p w14:paraId="59BF25C7" w14:textId="7D6D5492" w:rsidR="003865BF" w:rsidRDefault="00FB109C" w:rsidP="00FB109C">
      <w:pPr>
        <w:pStyle w:val="B1"/>
      </w:pPr>
      <w:r>
        <w:t>-</w:t>
      </w:r>
      <w:r>
        <w:tab/>
      </w:r>
      <w:r w:rsidR="00626A6B" w:rsidRPr="0037102D">
        <w:rPr>
          <w:i/>
        </w:rPr>
        <w:t>P</w:t>
      </w:r>
      <w:r w:rsidR="00626A6B" w:rsidRPr="0037102D">
        <w:rPr>
          <w:i/>
          <w:vertAlign w:val="subscript"/>
        </w:rPr>
        <w:t>sw</w:t>
      </w:r>
      <w:r w:rsidR="00626A6B" w:rsidRPr="00FB109C">
        <w:t xml:space="preserve"> calculation:  glass layer thickness &gt;&gt; patch antenna substrate thickness</w:t>
      </w:r>
    </w:p>
    <w:p w14:paraId="2AC277B1" w14:textId="08AA4D34" w:rsidR="0019352A" w:rsidRDefault="0019352A" w:rsidP="0019352A">
      <w:pPr>
        <w:pStyle w:val="B1"/>
      </w:pPr>
      <w:r>
        <w:t>-</w:t>
      </w:r>
      <w:r>
        <w:tab/>
        <w:t>Metal-backed glass layer</w:t>
      </w:r>
    </w:p>
    <w:p w14:paraId="39045C7A" w14:textId="558D74B6" w:rsidR="0037102D" w:rsidRDefault="0019352A" w:rsidP="00A01E38">
      <w:pPr>
        <w:pStyle w:val="B1"/>
        <w:ind w:left="0" w:firstLine="0"/>
      </w:pPr>
      <w:r>
        <w:t>Figure 2 below illustrates the results for the array steered to boresight.</w:t>
      </w:r>
    </w:p>
    <w:p w14:paraId="46A1A162" w14:textId="6170337E" w:rsidR="0019352A" w:rsidRDefault="0019352A" w:rsidP="0019352A">
      <w:pPr>
        <w:pStyle w:val="B1"/>
        <w:ind w:left="0" w:firstLine="0"/>
        <w:jc w:val="center"/>
      </w:pPr>
      <w:r>
        <w:t>a)</w:t>
      </w:r>
      <w:r w:rsidRPr="0019352A">
        <w:rPr>
          <w:noProof/>
        </w:rPr>
        <w:drawing>
          <wp:inline distT="0" distB="0" distL="0" distR="0" wp14:anchorId="0332CAB3" wp14:editId="7A777326">
            <wp:extent cx="4572000" cy="248873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2488731"/>
                    </a:xfrm>
                    <a:prstGeom prst="rect">
                      <a:avLst/>
                    </a:prstGeom>
                  </pic:spPr>
                </pic:pic>
              </a:graphicData>
            </a:graphic>
          </wp:inline>
        </w:drawing>
      </w:r>
    </w:p>
    <w:p w14:paraId="588A3ACA" w14:textId="11F81282" w:rsidR="0019352A" w:rsidRDefault="0019352A" w:rsidP="0019352A">
      <w:pPr>
        <w:pStyle w:val="B1"/>
        <w:ind w:left="0" w:firstLine="0"/>
        <w:jc w:val="center"/>
      </w:pPr>
      <w:r>
        <w:t>b)</w:t>
      </w:r>
      <w:r w:rsidRPr="0019352A">
        <w:rPr>
          <w:noProof/>
        </w:rPr>
        <w:drawing>
          <wp:inline distT="0" distB="0" distL="0" distR="0" wp14:anchorId="38FD5B9E" wp14:editId="3552A746">
            <wp:extent cx="4572000" cy="2496793"/>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2496793"/>
                    </a:xfrm>
                    <a:prstGeom prst="rect">
                      <a:avLst/>
                    </a:prstGeom>
                  </pic:spPr>
                </pic:pic>
              </a:graphicData>
            </a:graphic>
          </wp:inline>
        </w:drawing>
      </w:r>
    </w:p>
    <w:p w14:paraId="725649CC" w14:textId="2DC9B1DD" w:rsidR="0019352A" w:rsidRPr="004D3578" w:rsidRDefault="0019352A" w:rsidP="0019352A">
      <w:pPr>
        <w:pStyle w:val="TF"/>
      </w:pPr>
      <w:r w:rsidRPr="004D3578">
        <w:t xml:space="preserve">Figure </w:t>
      </w:r>
      <w:r>
        <w:t>2</w:t>
      </w:r>
      <w:r w:rsidRPr="004D3578">
        <w:t xml:space="preserve">: </w:t>
      </w:r>
      <w:r>
        <w:t>Analytical results for patch array + glass (steered to boresight</w:t>
      </w:r>
      <w:r w:rsidR="00F41375">
        <w:t>, f=39 GHz</w:t>
      </w:r>
      <w:r>
        <w:t>)</w:t>
      </w:r>
    </w:p>
    <w:p w14:paraId="4118E000" w14:textId="0529AE14" w:rsidR="0019352A" w:rsidRDefault="009C25EF" w:rsidP="00247926">
      <w:r>
        <w:t>Based on these results, we make the following observation:</w:t>
      </w:r>
    </w:p>
    <w:p w14:paraId="0E0F0BD3" w14:textId="1062DFEA" w:rsidR="009C25EF" w:rsidRPr="003B329E" w:rsidRDefault="009C25EF" w:rsidP="003B329E">
      <w:pPr>
        <w:pStyle w:val="Observation"/>
      </w:pPr>
      <w:bookmarkStart w:id="5" w:name="_Toc16550835"/>
      <w:bookmarkStart w:id="6" w:name="_Toc16573700"/>
      <w:r>
        <w:t>Observation 1:</w:t>
      </w:r>
      <w:r>
        <w:tab/>
      </w:r>
      <w:r w:rsidR="009465C7">
        <w:t>At a given frequency, there is a glass thickness which represents the onset of TE1 mode</w:t>
      </w:r>
      <w:r w:rsidR="000F16B5">
        <w:t xml:space="preserve"> (approximately </w:t>
      </w:r>
      <w:r w:rsidR="000F16B5">
        <w:rPr>
          <w:lang w:val="el-GR"/>
        </w:rPr>
        <w:t>λ</w:t>
      </w:r>
      <w:r w:rsidR="000F16B5" w:rsidRPr="000F16B5">
        <w:rPr>
          <w:vertAlign w:val="subscript"/>
          <w:lang w:val="en-US"/>
        </w:rPr>
        <w:t>d</w:t>
      </w:r>
      <w:r w:rsidR="000F16B5">
        <w:rPr>
          <w:lang w:val="en-US"/>
        </w:rPr>
        <w:t>/4)</w:t>
      </w:r>
      <w:r w:rsidR="009465C7">
        <w:t>, leading to</w:t>
      </w:r>
      <w:r w:rsidR="005A435A">
        <w:t xml:space="preserve"> significantly increased</w:t>
      </w:r>
      <w:r w:rsidR="009465C7">
        <w:t xml:space="preserve"> </w:t>
      </w:r>
      <w:r w:rsidR="00A40FA0">
        <w:t>surface wave losses</w:t>
      </w:r>
      <w:r w:rsidR="009465C7">
        <w:t>.</w:t>
      </w:r>
      <w:bookmarkEnd w:id="5"/>
      <w:bookmarkEnd w:id="6"/>
    </w:p>
    <w:p w14:paraId="2FC56633" w14:textId="77777777" w:rsidR="003B329E" w:rsidRDefault="003B329E" w:rsidP="00247926">
      <w:pPr>
        <w:rPr>
          <w:lang w:val="en-US"/>
        </w:rPr>
      </w:pPr>
    </w:p>
    <w:p w14:paraId="10DD4F8D" w14:textId="4E6C6757" w:rsidR="00405996" w:rsidRDefault="00F714EE" w:rsidP="00247926">
      <w:pPr>
        <w:rPr>
          <w:lang w:val="en-US"/>
        </w:rPr>
      </w:pPr>
      <w:r>
        <w:rPr>
          <w:lang w:val="en-US"/>
        </w:rPr>
        <w:t>Table 3 below summarizes the above observations and calculates the approximate glass thickness which represents the onset of the TE1 mode.</w:t>
      </w:r>
    </w:p>
    <w:p w14:paraId="64016478" w14:textId="0D805A8B" w:rsidR="00405996" w:rsidRPr="00C63803" w:rsidRDefault="00405996" w:rsidP="00405996">
      <w:pPr>
        <w:pStyle w:val="TH"/>
        <w:rPr>
          <w:lang w:val="en-US"/>
        </w:rPr>
      </w:pPr>
      <w:r w:rsidRPr="004D3578">
        <w:lastRenderedPageBreak/>
        <w:t xml:space="preserve">Table </w:t>
      </w:r>
      <w:r w:rsidR="00F714EE">
        <w:t>3</w:t>
      </w:r>
      <w:r w:rsidRPr="004D3578">
        <w:t xml:space="preserve">: </w:t>
      </w:r>
      <w:r w:rsidR="00C63803">
        <w:t xml:space="preserve">TE1 </w:t>
      </w:r>
      <w:r w:rsidR="00F714EE">
        <w:t xml:space="preserve">mode </w:t>
      </w:r>
      <w:r w:rsidR="00C63803">
        <w:t xml:space="preserve">onset (approximated as </w:t>
      </w:r>
      <w:r w:rsidR="00C63803">
        <w:rPr>
          <w:lang w:val="el-GR"/>
        </w:rPr>
        <w:t>λ</w:t>
      </w:r>
      <w:r w:rsidR="00C63803" w:rsidRPr="00C63803">
        <w:rPr>
          <w:vertAlign w:val="subscript"/>
          <w:lang w:val="en-US"/>
        </w:rPr>
        <w:t>d</w:t>
      </w:r>
      <w:r w:rsidR="00C63803">
        <w:rPr>
          <w:lang w:val="en-US"/>
        </w:rPr>
        <w:t>/4</w:t>
      </w:r>
      <w:r w:rsidR="00F714EE">
        <w:rPr>
          <w:lang w:val="en-US"/>
        </w:rPr>
        <w:t>, in mm</w:t>
      </w:r>
      <w:r w:rsidR="00C63803">
        <w:rPr>
          <w:lang w:val="en-US"/>
        </w:rPr>
        <w:t>)</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2016"/>
        <w:gridCol w:w="2016"/>
        <w:gridCol w:w="2016"/>
        <w:gridCol w:w="2016"/>
      </w:tblGrid>
      <w:tr w:rsidR="00C63803" w:rsidRPr="004D3578" w14:paraId="11EC3581" w14:textId="09F1C9FC" w:rsidTr="00F714EE">
        <w:trPr>
          <w:jc w:val="center"/>
        </w:trPr>
        <w:tc>
          <w:tcPr>
            <w:tcW w:w="2016" w:type="dxa"/>
            <w:shd w:val="clear" w:color="auto" w:fill="D9D9D9"/>
          </w:tcPr>
          <w:p w14:paraId="247833A0" w14:textId="29015DD8" w:rsidR="00C63803" w:rsidRPr="004D3578" w:rsidRDefault="00C63803" w:rsidP="000F535A">
            <w:pPr>
              <w:pStyle w:val="TAH"/>
            </w:pPr>
            <w:r>
              <w:t>Frequency (GHz)</w:t>
            </w:r>
          </w:p>
        </w:tc>
        <w:tc>
          <w:tcPr>
            <w:tcW w:w="2016" w:type="dxa"/>
            <w:shd w:val="clear" w:color="auto" w:fill="D9D9D9"/>
          </w:tcPr>
          <w:p w14:paraId="32614769" w14:textId="37F3B0F7" w:rsidR="00C63803" w:rsidRDefault="00C63803" w:rsidP="000F535A">
            <w:pPr>
              <w:pStyle w:val="TAH"/>
            </w:pPr>
            <w:r>
              <w:rPr>
                <w:lang w:val="el-GR"/>
              </w:rPr>
              <w:t>ε</w:t>
            </w:r>
            <w:r w:rsidRPr="00C63803">
              <w:rPr>
                <w:vertAlign w:val="subscript"/>
                <w:lang w:val="en-US"/>
              </w:rPr>
              <w:t>r</w:t>
            </w:r>
            <w:r>
              <w:t xml:space="preserve"> = 1</w:t>
            </w:r>
          </w:p>
        </w:tc>
        <w:tc>
          <w:tcPr>
            <w:tcW w:w="2016" w:type="dxa"/>
            <w:shd w:val="clear" w:color="auto" w:fill="D9D9D9"/>
          </w:tcPr>
          <w:p w14:paraId="58FD4928" w14:textId="0280E16B" w:rsidR="00C63803" w:rsidRPr="004D3578" w:rsidRDefault="00C63803" w:rsidP="000F535A">
            <w:pPr>
              <w:pStyle w:val="TAH"/>
            </w:pPr>
            <w:r>
              <w:rPr>
                <w:lang w:val="el-GR"/>
              </w:rPr>
              <w:t>ε</w:t>
            </w:r>
            <w:r w:rsidRPr="00C63803">
              <w:rPr>
                <w:vertAlign w:val="subscript"/>
                <w:lang w:val="en-US"/>
              </w:rPr>
              <w:t>r</w:t>
            </w:r>
            <w:r>
              <w:t xml:space="preserve"> = 4</w:t>
            </w:r>
          </w:p>
        </w:tc>
        <w:tc>
          <w:tcPr>
            <w:tcW w:w="2016" w:type="dxa"/>
            <w:shd w:val="clear" w:color="auto" w:fill="D9D9D9"/>
          </w:tcPr>
          <w:p w14:paraId="76F98310" w14:textId="3A3E1BF0" w:rsidR="00C63803" w:rsidRPr="00F714EE" w:rsidRDefault="00C63803" w:rsidP="000F535A">
            <w:pPr>
              <w:pStyle w:val="TAH"/>
              <w:rPr>
                <w:lang w:val="en-US"/>
              </w:rPr>
            </w:pPr>
            <w:r>
              <w:rPr>
                <w:lang w:val="el-GR"/>
              </w:rPr>
              <w:t>ε</w:t>
            </w:r>
            <w:r w:rsidRPr="00DA2311">
              <w:rPr>
                <w:vertAlign w:val="subscript"/>
                <w:lang w:val="el-GR"/>
              </w:rPr>
              <w:t>r</w:t>
            </w:r>
            <w:r w:rsidRPr="00C63803">
              <w:rPr>
                <w:lang w:val="el-GR"/>
              </w:rPr>
              <w:t xml:space="preserve"> =</w:t>
            </w:r>
            <w:r w:rsidR="00F714EE">
              <w:rPr>
                <w:lang w:val="en-US"/>
              </w:rPr>
              <w:t xml:space="preserve"> 6</w:t>
            </w:r>
          </w:p>
        </w:tc>
        <w:tc>
          <w:tcPr>
            <w:tcW w:w="2016" w:type="dxa"/>
            <w:shd w:val="clear" w:color="auto" w:fill="D9D9D9"/>
          </w:tcPr>
          <w:p w14:paraId="43C9A316" w14:textId="75A73105" w:rsidR="00C63803" w:rsidRDefault="00C63803" w:rsidP="000F535A">
            <w:pPr>
              <w:pStyle w:val="TAH"/>
              <w:rPr>
                <w:lang w:val="el-GR"/>
              </w:rPr>
            </w:pPr>
            <w:r>
              <w:rPr>
                <w:lang w:val="el-GR"/>
              </w:rPr>
              <w:t>ε</w:t>
            </w:r>
            <w:r w:rsidRPr="00C63803">
              <w:rPr>
                <w:vertAlign w:val="subscript"/>
                <w:lang w:val="en-US"/>
              </w:rPr>
              <w:t>r</w:t>
            </w:r>
            <w:r>
              <w:t xml:space="preserve"> = </w:t>
            </w:r>
            <w:r w:rsidR="00F714EE">
              <w:t>8</w:t>
            </w:r>
          </w:p>
        </w:tc>
      </w:tr>
      <w:tr w:rsidR="00F714EE" w:rsidRPr="004D3578" w14:paraId="742E1887" w14:textId="44735F62" w:rsidTr="00F714EE">
        <w:trPr>
          <w:jc w:val="center"/>
        </w:trPr>
        <w:tc>
          <w:tcPr>
            <w:tcW w:w="2016" w:type="dxa"/>
          </w:tcPr>
          <w:p w14:paraId="2DCD600B" w14:textId="46FB8C19" w:rsidR="00F714EE" w:rsidRPr="004D3578" w:rsidRDefault="00F714EE" w:rsidP="00F714EE">
            <w:pPr>
              <w:pStyle w:val="TAL"/>
            </w:pPr>
            <w:r>
              <w:t>37.0</w:t>
            </w:r>
          </w:p>
        </w:tc>
        <w:tc>
          <w:tcPr>
            <w:tcW w:w="2016" w:type="dxa"/>
          </w:tcPr>
          <w:p w14:paraId="3AEA5918" w14:textId="757661BA" w:rsidR="00F714EE" w:rsidRDefault="00F714EE" w:rsidP="00F714EE">
            <w:pPr>
              <w:pStyle w:val="TAC"/>
            </w:pPr>
            <w:r w:rsidRPr="00E253EE">
              <w:t>2.03</w:t>
            </w:r>
          </w:p>
        </w:tc>
        <w:tc>
          <w:tcPr>
            <w:tcW w:w="2016" w:type="dxa"/>
          </w:tcPr>
          <w:p w14:paraId="4B68B20E" w14:textId="5990185A" w:rsidR="00F714EE" w:rsidRPr="004D3578" w:rsidRDefault="00F714EE" w:rsidP="00F714EE">
            <w:pPr>
              <w:pStyle w:val="TAC"/>
            </w:pPr>
            <w:r w:rsidRPr="00E253EE">
              <w:t>1.01</w:t>
            </w:r>
          </w:p>
        </w:tc>
        <w:tc>
          <w:tcPr>
            <w:tcW w:w="2016" w:type="dxa"/>
          </w:tcPr>
          <w:p w14:paraId="165129A7" w14:textId="0803113C" w:rsidR="00F714EE" w:rsidRPr="004D3578" w:rsidRDefault="00F714EE" w:rsidP="00F714EE">
            <w:pPr>
              <w:pStyle w:val="TAC"/>
            </w:pPr>
            <w:r w:rsidRPr="00E253EE">
              <w:t>0.83</w:t>
            </w:r>
          </w:p>
        </w:tc>
        <w:tc>
          <w:tcPr>
            <w:tcW w:w="2016" w:type="dxa"/>
          </w:tcPr>
          <w:p w14:paraId="07DCF851" w14:textId="78B8EAC8" w:rsidR="00F714EE" w:rsidRPr="004D3578" w:rsidRDefault="00F714EE" w:rsidP="00F714EE">
            <w:pPr>
              <w:pStyle w:val="TAC"/>
            </w:pPr>
            <w:r w:rsidRPr="00E253EE">
              <w:t>0.72</w:t>
            </w:r>
          </w:p>
        </w:tc>
      </w:tr>
      <w:tr w:rsidR="00F714EE" w:rsidRPr="004D3578" w14:paraId="5A2A46B6" w14:textId="2022E22E" w:rsidTr="00F714EE">
        <w:trPr>
          <w:jc w:val="center"/>
        </w:trPr>
        <w:tc>
          <w:tcPr>
            <w:tcW w:w="2016" w:type="dxa"/>
          </w:tcPr>
          <w:p w14:paraId="2B8324C0" w14:textId="327ED3E7" w:rsidR="00F714EE" w:rsidRPr="004D3578" w:rsidRDefault="00F714EE" w:rsidP="00F714EE">
            <w:pPr>
              <w:pStyle w:val="TAL"/>
            </w:pPr>
            <w:r>
              <w:t>39.0</w:t>
            </w:r>
          </w:p>
        </w:tc>
        <w:tc>
          <w:tcPr>
            <w:tcW w:w="2016" w:type="dxa"/>
          </w:tcPr>
          <w:p w14:paraId="6125B3F6" w14:textId="7B531962" w:rsidR="00F714EE" w:rsidRPr="004D3578" w:rsidRDefault="00F714EE" w:rsidP="00F714EE">
            <w:pPr>
              <w:pStyle w:val="TAC"/>
            </w:pPr>
            <w:r w:rsidRPr="00E253EE">
              <w:t>1.92</w:t>
            </w:r>
          </w:p>
        </w:tc>
        <w:tc>
          <w:tcPr>
            <w:tcW w:w="2016" w:type="dxa"/>
          </w:tcPr>
          <w:p w14:paraId="7E75D8E1" w14:textId="3E01CE3F" w:rsidR="00F714EE" w:rsidRPr="004D3578" w:rsidRDefault="00F714EE" w:rsidP="00F714EE">
            <w:pPr>
              <w:pStyle w:val="TAC"/>
            </w:pPr>
            <w:r w:rsidRPr="00E253EE">
              <w:t>0.96</w:t>
            </w:r>
          </w:p>
        </w:tc>
        <w:tc>
          <w:tcPr>
            <w:tcW w:w="2016" w:type="dxa"/>
          </w:tcPr>
          <w:p w14:paraId="64694D21" w14:textId="66521449" w:rsidR="00F714EE" w:rsidRPr="004D3578" w:rsidRDefault="00F714EE" w:rsidP="00F714EE">
            <w:pPr>
              <w:pStyle w:val="TAC"/>
            </w:pPr>
            <w:r w:rsidRPr="00E253EE">
              <w:t>0.78</w:t>
            </w:r>
          </w:p>
        </w:tc>
        <w:tc>
          <w:tcPr>
            <w:tcW w:w="2016" w:type="dxa"/>
          </w:tcPr>
          <w:p w14:paraId="55DB7B4F" w14:textId="75E126B5" w:rsidR="00F714EE" w:rsidRPr="004D3578" w:rsidRDefault="00F714EE" w:rsidP="00F714EE">
            <w:pPr>
              <w:pStyle w:val="TAC"/>
            </w:pPr>
            <w:r w:rsidRPr="00E253EE">
              <w:t>0.68</w:t>
            </w:r>
          </w:p>
        </w:tc>
      </w:tr>
      <w:tr w:rsidR="00F714EE" w:rsidRPr="004D3578" w14:paraId="340726F7" w14:textId="124B717E" w:rsidTr="00F714EE">
        <w:trPr>
          <w:jc w:val="center"/>
        </w:trPr>
        <w:tc>
          <w:tcPr>
            <w:tcW w:w="2016" w:type="dxa"/>
          </w:tcPr>
          <w:p w14:paraId="37AEED8B" w14:textId="76C93A39" w:rsidR="00F714EE" w:rsidRDefault="00F714EE" w:rsidP="00F714EE">
            <w:pPr>
              <w:pStyle w:val="TAL"/>
            </w:pPr>
            <w:r>
              <w:t>41.0</w:t>
            </w:r>
          </w:p>
        </w:tc>
        <w:tc>
          <w:tcPr>
            <w:tcW w:w="2016" w:type="dxa"/>
          </w:tcPr>
          <w:p w14:paraId="4CDBD13A" w14:textId="50E910F9" w:rsidR="00F714EE" w:rsidRPr="004D3578" w:rsidRDefault="00F714EE" w:rsidP="00F714EE">
            <w:pPr>
              <w:pStyle w:val="TAC"/>
            </w:pPr>
            <w:r w:rsidRPr="00E253EE">
              <w:t>1.83</w:t>
            </w:r>
          </w:p>
        </w:tc>
        <w:tc>
          <w:tcPr>
            <w:tcW w:w="2016" w:type="dxa"/>
          </w:tcPr>
          <w:p w14:paraId="27F66ED8" w14:textId="183CF8CD" w:rsidR="00F714EE" w:rsidRPr="004D3578" w:rsidRDefault="00F714EE" w:rsidP="00F714EE">
            <w:pPr>
              <w:pStyle w:val="TAC"/>
            </w:pPr>
            <w:r w:rsidRPr="00E253EE">
              <w:t>0.91</w:t>
            </w:r>
          </w:p>
        </w:tc>
        <w:tc>
          <w:tcPr>
            <w:tcW w:w="2016" w:type="dxa"/>
          </w:tcPr>
          <w:p w14:paraId="169CF224" w14:textId="762189DD" w:rsidR="00F714EE" w:rsidRPr="004D3578" w:rsidRDefault="00F714EE" w:rsidP="00F714EE">
            <w:pPr>
              <w:pStyle w:val="TAC"/>
            </w:pPr>
            <w:r w:rsidRPr="00E253EE">
              <w:t>0.75</w:t>
            </w:r>
          </w:p>
        </w:tc>
        <w:tc>
          <w:tcPr>
            <w:tcW w:w="2016" w:type="dxa"/>
          </w:tcPr>
          <w:p w14:paraId="631BB7F3" w14:textId="7FB2E8BB" w:rsidR="00F714EE" w:rsidRPr="004D3578" w:rsidRDefault="00F714EE" w:rsidP="00F714EE">
            <w:pPr>
              <w:pStyle w:val="TAC"/>
            </w:pPr>
            <w:r w:rsidRPr="00E253EE">
              <w:t>0.65</w:t>
            </w:r>
          </w:p>
        </w:tc>
      </w:tr>
      <w:tr w:rsidR="00F714EE" w:rsidRPr="004D3578" w14:paraId="1C71F97C" w14:textId="2B1AA23F" w:rsidTr="00F714EE">
        <w:trPr>
          <w:jc w:val="center"/>
        </w:trPr>
        <w:tc>
          <w:tcPr>
            <w:tcW w:w="2016" w:type="dxa"/>
          </w:tcPr>
          <w:p w14:paraId="40C47128" w14:textId="76DF9F3C" w:rsidR="00F714EE" w:rsidRDefault="00F714EE" w:rsidP="00F714EE">
            <w:pPr>
              <w:pStyle w:val="TAL"/>
            </w:pPr>
            <w:r>
              <w:t>43.0</w:t>
            </w:r>
          </w:p>
        </w:tc>
        <w:tc>
          <w:tcPr>
            <w:tcW w:w="2016" w:type="dxa"/>
          </w:tcPr>
          <w:p w14:paraId="4B35EAD7" w14:textId="26E1CEC0" w:rsidR="00F714EE" w:rsidRPr="004D3578" w:rsidRDefault="00F714EE" w:rsidP="00F714EE">
            <w:pPr>
              <w:pStyle w:val="TAC"/>
            </w:pPr>
            <w:r w:rsidRPr="00E253EE">
              <w:t>1.74</w:t>
            </w:r>
          </w:p>
        </w:tc>
        <w:tc>
          <w:tcPr>
            <w:tcW w:w="2016" w:type="dxa"/>
          </w:tcPr>
          <w:p w14:paraId="6E7F15BE" w14:textId="3FC5748B" w:rsidR="00F714EE" w:rsidRPr="004D3578" w:rsidRDefault="00F714EE" w:rsidP="00F714EE">
            <w:pPr>
              <w:pStyle w:val="TAC"/>
            </w:pPr>
            <w:r w:rsidRPr="00E253EE">
              <w:t>0.87</w:t>
            </w:r>
          </w:p>
        </w:tc>
        <w:tc>
          <w:tcPr>
            <w:tcW w:w="2016" w:type="dxa"/>
          </w:tcPr>
          <w:p w14:paraId="03D6B457" w14:textId="1514CC58" w:rsidR="00F714EE" w:rsidRPr="004D3578" w:rsidRDefault="00F714EE" w:rsidP="00F714EE">
            <w:pPr>
              <w:pStyle w:val="TAC"/>
            </w:pPr>
            <w:r w:rsidRPr="00E253EE">
              <w:t>0.71</w:t>
            </w:r>
          </w:p>
        </w:tc>
        <w:tc>
          <w:tcPr>
            <w:tcW w:w="2016" w:type="dxa"/>
          </w:tcPr>
          <w:p w14:paraId="1C2D52F8" w14:textId="59F00942" w:rsidR="00F714EE" w:rsidRPr="004D3578" w:rsidRDefault="00F714EE" w:rsidP="00F714EE">
            <w:pPr>
              <w:pStyle w:val="TAC"/>
            </w:pPr>
            <w:r w:rsidRPr="00E253EE">
              <w:t>0.62</w:t>
            </w:r>
          </w:p>
        </w:tc>
      </w:tr>
    </w:tbl>
    <w:p w14:paraId="7C304CDB" w14:textId="2452DBFF" w:rsidR="00405996" w:rsidRDefault="00405996" w:rsidP="00247926">
      <w:pPr>
        <w:rPr>
          <w:lang w:val="en-US"/>
        </w:rPr>
      </w:pPr>
    </w:p>
    <w:p w14:paraId="19CE98F6" w14:textId="1D405859" w:rsidR="003B329E" w:rsidRDefault="003B329E" w:rsidP="0070730A">
      <w:pPr>
        <w:pStyle w:val="Observation"/>
      </w:pPr>
      <w:bookmarkStart w:id="7" w:name="_Toc16550836"/>
      <w:bookmarkStart w:id="8" w:name="_Toc16573701"/>
      <w:r>
        <w:t>Observation 2:</w:t>
      </w:r>
      <w:r>
        <w:tab/>
        <w:t>Assuming that the glass cover thickness is dictated by mechanical constraints, the onset of TE1 mode is expected to occur above 37 GHz and is implementation dependent.</w:t>
      </w:r>
      <w:bookmarkEnd w:id="7"/>
      <w:bookmarkEnd w:id="8"/>
    </w:p>
    <w:p w14:paraId="3CF5B8F3" w14:textId="5387A48C" w:rsidR="00610775" w:rsidRDefault="00610775" w:rsidP="00610775">
      <w:pPr>
        <w:pStyle w:val="Observation"/>
      </w:pPr>
      <w:bookmarkStart w:id="9" w:name="_Toc16550837"/>
      <w:bookmarkStart w:id="10" w:name="_Toc16573702"/>
      <w:r>
        <w:t>Observation 3:</w:t>
      </w:r>
      <w:r>
        <w:tab/>
      </w:r>
      <w:r w:rsidR="00075DE9">
        <w:t>The surface wave loss effect is further dependent on the scan angle of the array and should be investigated in the context of spherical coverage performance</w:t>
      </w:r>
      <w:r>
        <w:t>.</w:t>
      </w:r>
      <w:bookmarkEnd w:id="9"/>
      <w:bookmarkEnd w:id="10"/>
    </w:p>
    <w:p w14:paraId="72460A6D" w14:textId="77777777" w:rsidR="0070730A" w:rsidRDefault="0070730A" w:rsidP="00247926"/>
    <w:p w14:paraId="0347D3C6" w14:textId="1868BF27" w:rsidR="0070730A" w:rsidRDefault="0070730A" w:rsidP="00247926">
      <w:r>
        <w:t>Although it may not be possible for all companies to agree on a certain glass thickness which can be used to derive the Band n259 requirements, it may be possible to determine over what frequency range the Band n260 assumptions on antenna performance are valid</w:t>
      </w:r>
      <w:r w:rsidR="008E4697">
        <w:t>, thereby allowing to reuse the antenna performance data from Band n260.</w:t>
      </w:r>
    </w:p>
    <w:p w14:paraId="3A33A312" w14:textId="0C131D44" w:rsidR="008E4697" w:rsidRDefault="008E4697" w:rsidP="008E4697">
      <w:pPr>
        <w:pStyle w:val="Proposal"/>
      </w:pPr>
      <w:bookmarkStart w:id="11" w:name="_Toc16550840"/>
      <w:bookmarkStart w:id="12" w:name="_Toc16573705"/>
      <w:r>
        <w:t>Proposal 3:</w:t>
      </w:r>
      <w:r>
        <w:tab/>
        <w:t xml:space="preserve">Input from companies on whether Band n260 antenna </w:t>
      </w:r>
      <w:r w:rsidR="00075DE9">
        <w:t xml:space="preserve">array </w:t>
      </w:r>
      <w:r>
        <w:t>performance</w:t>
      </w:r>
      <w:r w:rsidR="00075DE9">
        <w:t xml:space="preserve"> (peak and spherical coverage)</w:t>
      </w:r>
      <w:r>
        <w:t xml:space="preserve"> can be reused over the entire Band n259 or over a sub-range</w:t>
      </w:r>
      <w:r w:rsidR="006A2DE2">
        <w:t xml:space="preserve"> is encouraged</w:t>
      </w:r>
      <w:r>
        <w:t>.</w:t>
      </w:r>
      <w:bookmarkEnd w:id="11"/>
      <w:bookmarkEnd w:id="12"/>
      <w:r>
        <w:t xml:space="preserve"> </w:t>
      </w:r>
    </w:p>
    <w:p w14:paraId="019C92D3" w14:textId="26E6BDB0" w:rsidR="00FB7CBD" w:rsidRDefault="00FB7CBD" w:rsidP="00FB7CBD">
      <w:pPr>
        <w:pStyle w:val="Heading2"/>
      </w:pPr>
      <w:r>
        <w:t>2.</w:t>
      </w:r>
      <w:r w:rsidR="000F390E">
        <w:t>2</w:t>
      </w:r>
      <w:r>
        <w:tab/>
      </w:r>
      <w:r w:rsidR="000F390E">
        <w:t>Multi-band case (all FR2 bands)</w:t>
      </w:r>
    </w:p>
    <w:p w14:paraId="7D07D536" w14:textId="1B65D8B0" w:rsidR="003E419B" w:rsidRPr="003E419B" w:rsidRDefault="003E419B" w:rsidP="003E419B">
      <w:r>
        <w:t>The case of the UE supporting all FR2 bands currently in the Rel-16 scope (n257, n258, n261, n260, and n259) can be considered the superset multi-band case and represents a UE design built for the global market without market-specific optimization.  Defining the multi-band framework for this case is critical to enable global adoption of the NR FR2 technology.</w:t>
      </w:r>
    </w:p>
    <w:p w14:paraId="3DE88580" w14:textId="07837E61" w:rsidR="000F390E" w:rsidRDefault="000F390E" w:rsidP="000F390E">
      <w:pPr>
        <w:pStyle w:val="Heading3"/>
      </w:pPr>
      <w:r>
        <w:t>2.2.1</w:t>
      </w:r>
      <w:r>
        <w:tab/>
        <w:t>Assumptions on transmitter components’ performance</w:t>
      </w:r>
    </w:p>
    <w:p w14:paraId="1C565AD7" w14:textId="6BFBBB26" w:rsidR="000F390E" w:rsidRDefault="00460223" w:rsidP="000F390E">
      <w:r>
        <w:t>Because the Rel-15 EIRP requirement derivation assumed separate transmitter architectures for the 28 GHz bands (n257, n258, n261) and for the 39 GHz band (n260), it is logical to maintain the assumption in Rel-16.  Thus, the conducted Tx performance factors, as shown in Table 1 for the single band case, should be checked assuming the transmitter and RF components must support the frequency range from 37.0 GHz through 43.5 GHz.</w:t>
      </w:r>
    </w:p>
    <w:p w14:paraId="5254365B" w14:textId="79B4E99C" w:rsidR="000F390E" w:rsidRDefault="000F390E" w:rsidP="000F390E">
      <w:pPr>
        <w:pStyle w:val="Heading3"/>
      </w:pPr>
      <w:r>
        <w:t>2.2.2</w:t>
      </w:r>
      <w:r>
        <w:tab/>
        <w:t>Assumptions on receiver components’ performance</w:t>
      </w:r>
    </w:p>
    <w:p w14:paraId="03B6131C" w14:textId="7D5AE6F3" w:rsidR="000F390E" w:rsidRDefault="00460223" w:rsidP="000F390E">
      <w:r>
        <w:t>Because the Rel-15 EI</w:t>
      </w:r>
      <w:r w:rsidR="009D654B">
        <w:t>S</w:t>
      </w:r>
      <w:r>
        <w:t xml:space="preserve"> requirement derivation assumed separate receiver architectures for the 28 GHz bands (n257, n258, n261) and for the 39 GHz band (n260), it is logical to maintain the assumption in Rel-16.  Thus, the conducted Rx performance factors, as shown in Table 2 for the single band case, should be checked assuming the receiver and RF components must support the frequency range from 37.0 GHz through 43.5 GHz.</w:t>
      </w:r>
    </w:p>
    <w:p w14:paraId="7B07C8AC" w14:textId="50C6F5F3" w:rsidR="000F390E" w:rsidRDefault="000F390E" w:rsidP="000F390E">
      <w:pPr>
        <w:pStyle w:val="Heading3"/>
      </w:pPr>
      <w:r>
        <w:t>2.2.3</w:t>
      </w:r>
      <w:r>
        <w:tab/>
        <w:t>Assumptions on antenna array performance</w:t>
      </w:r>
    </w:p>
    <w:p w14:paraId="74AA74D4" w14:textId="0B76FE64" w:rsidR="000F390E" w:rsidRDefault="00BB0705" w:rsidP="000F390E">
      <w:r>
        <w:t xml:space="preserve">The Rel-15 multi-band framework was derived based on additional antenna array performance simulations after the finalization of the single band requirement.  This analysis had shown that the integration of 28 GHz and 39 GHz arrays is a complex task and consists of a number of performance trade-offs, </w:t>
      </w:r>
      <w:r w:rsidR="00A442F2">
        <w:t>with an example</w:t>
      </w:r>
      <w:r>
        <w:t xml:space="preserve"> shown in Figure 3 below.</w:t>
      </w:r>
    </w:p>
    <w:p w14:paraId="4E162A24" w14:textId="245706EB" w:rsidR="00BB0705" w:rsidRDefault="00BB0705" w:rsidP="00BB0705">
      <w:pPr>
        <w:jc w:val="center"/>
      </w:pPr>
      <w:r w:rsidRPr="00BB0705">
        <w:rPr>
          <w:noProof/>
        </w:rPr>
        <w:lastRenderedPageBreak/>
        <w:drawing>
          <wp:inline distT="0" distB="0" distL="0" distR="0" wp14:anchorId="39B11A32" wp14:editId="445BA542">
            <wp:extent cx="2743200" cy="24650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2465043"/>
                    </a:xfrm>
                    <a:prstGeom prst="rect">
                      <a:avLst/>
                    </a:prstGeom>
                  </pic:spPr>
                </pic:pic>
              </a:graphicData>
            </a:graphic>
          </wp:inline>
        </w:drawing>
      </w:r>
    </w:p>
    <w:p w14:paraId="51D80B80" w14:textId="5A3354A0" w:rsidR="00BB0705" w:rsidRPr="004D3578" w:rsidRDefault="00BB0705" w:rsidP="00BB0705">
      <w:pPr>
        <w:pStyle w:val="TF"/>
      </w:pPr>
      <w:r w:rsidRPr="004D3578">
        <w:t xml:space="preserve">Figure </w:t>
      </w:r>
      <w:r>
        <w:t>3</w:t>
      </w:r>
      <w:r w:rsidRPr="004D3578">
        <w:t xml:space="preserve">: </w:t>
      </w:r>
      <w:r>
        <w:t>Array gain vs. spacer thickness for n257, n258, n261, n260</w:t>
      </w:r>
    </w:p>
    <w:p w14:paraId="288A47C0" w14:textId="5667FF2E" w:rsidR="00BB0705" w:rsidRDefault="00BB0705" w:rsidP="000F390E">
      <w:bookmarkStart w:id="13" w:name="_GoBack"/>
      <w:bookmarkEnd w:id="13"/>
      <w:r>
        <w:t>A similar approach is needed to define the multi-band factors for the case of the UE supporting all FR2 bands currently in the Rel-16 scope (n257, n258, n261, n260, and n259).</w:t>
      </w:r>
    </w:p>
    <w:p w14:paraId="6EB57794" w14:textId="41933DA7" w:rsidR="00BB0705" w:rsidRDefault="00BB0705" w:rsidP="00BB0705">
      <w:pPr>
        <w:pStyle w:val="Proposal"/>
      </w:pPr>
      <w:bookmarkStart w:id="14" w:name="_Toc16550841"/>
      <w:bookmarkStart w:id="15" w:name="_Toc16573706"/>
      <w:r>
        <w:t>Proposal 4:</w:t>
      </w:r>
      <w:r>
        <w:tab/>
        <w:t>An analysis of antenna array performance which includes engineering trade-offs to support all FR2 bands (n257, n258, n261, n260, n259) is needed in order to quantify the multi-band factors.</w:t>
      </w:r>
      <w:bookmarkEnd w:id="14"/>
      <w:bookmarkEnd w:id="15"/>
      <w:r>
        <w:t xml:space="preserve"> </w:t>
      </w:r>
    </w:p>
    <w:p w14:paraId="72B7B921" w14:textId="0369EBF8" w:rsidR="004826A9" w:rsidRDefault="004826A9" w:rsidP="000F390E">
      <w:pPr>
        <w:pStyle w:val="Heading2"/>
      </w:pPr>
      <w:r>
        <w:t>2.</w:t>
      </w:r>
      <w:r w:rsidR="000F390E">
        <w:t>3</w:t>
      </w:r>
      <w:r w:rsidR="000F390E">
        <w:tab/>
        <w:t>Other multi-band cases</w:t>
      </w:r>
    </w:p>
    <w:p w14:paraId="0480AD50" w14:textId="77777777" w:rsidR="005C3436" w:rsidRDefault="005C3436" w:rsidP="005C3436">
      <w:r>
        <w:t>In Rel-15 there are only 4 FR2 bands, and all possible combinations of these bands are:</w:t>
      </w:r>
    </w:p>
    <w:p w14:paraId="3A19B7DF" w14:textId="411BD47F" w:rsidR="005C3436" w:rsidRDefault="005C3436" w:rsidP="005C3436">
      <w:r>
        <w:t>1 + 4!/(3!(4-3)!) + 4!/(2!(4-2)!) = 11</w:t>
      </w:r>
    </w:p>
    <w:p w14:paraId="07AFC94C" w14:textId="77777777" w:rsidR="005C3436" w:rsidRDefault="005C3436" w:rsidP="005C3436">
      <w:r>
        <w:t>In Rel-16, with the addition of Band n259, the number of possible combinations is:</w:t>
      </w:r>
    </w:p>
    <w:p w14:paraId="42BBC47B" w14:textId="63B3D5F0" w:rsidR="005C3436" w:rsidRDefault="005C3436" w:rsidP="005C3436">
      <w:r>
        <w:t>1 + 5!/(4!(5-4)!) + 5!/(3!(5-3)!) + 5!/(2!(5-2)!) = 26</w:t>
      </w:r>
    </w:p>
    <w:p w14:paraId="5CBC01ED" w14:textId="6A7D144A" w:rsidR="005C3436" w:rsidRDefault="005C3436" w:rsidP="005C3436">
      <w:r>
        <w:t>If one more band were added to FR2, then the number of possible combinations is:</w:t>
      </w:r>
    </w:p>
    <w:p w14:paraId="5B8058C3" w14:textId="0523552C" w:rsidR="005C3436" w:rsidRDefault="005C3436" w:rsidP="005C3436">
      <w:r>
        <w:t>1 + 6!/(5!(6-5)!) + 6!/(4!(</w:t>
      </w:r>
      <w:r w:rsidR="005D5E24">
        <w:t>6</w:t>
      </w:r>
      <w:r>
        <w:t>-</w:t>
      </w:r>
      <w:r w:rsidR="005D5E24">
        <w:t>4</w:t>
      </w:r>
      <w:r>
        <w:t xml:space="preserve">)!) + </w:t>
      </w:r>
      <w:r w:rsidR="005D5E24">
        <w:t>6</w:t>
      </w:r>
      <w:r>
        <w:t>!/(</w:t>
      </w:r>
      <w:r w:rsidR="005D5E24">
        <w:t>3</w:t>
      </w:r>
      <w:r>
        <w:t>!(</w:t>
      </w:r>
      <w:r w:rsidR="005D5E24">
        <w:t>6</w:t>
      </w:r>
      <w:r>
        <w:t>-</w:t>
      </w:r>
      <w:r w:rsidR="005D5E24">
        <w:t>3</w:t>
      </w:r>
      <w:r>
        <w:t xml:space="preserve">)!) </w:t>
      </w:r>
      <w:r w:rsidR="005D5E24">
        <w:t>+ 6!/(2!(6-2)!)</w:t>
      </w:r>
      <w:r w:rsidR="00A1325F">
        <w:t xml:space="preserve"> </w:t>
      </w:r>
      <w:r>
        <w:t xml:space="preserve">= </w:t>
      </w:r>
      <w:r w:rsidR="005D5E24">
        <w:t>57</w:t>
      </w:r>
    </w:p>
    <w:p w14:paraId="384BE460" w14:textId="584AB76F" w:rsidR="005D5E24" w:rsidRDefault="00A1325F" w:rsidP="005C3436">
      <w:r>
        <w:t>In an effort to keep the multi-band framework scaleable, some down-selection of combinations of supported bands is needed.  For example, a UE may support n261+n260 or n261+n260+n259, but it may be unlikely that a UE would support n261+n259 only.</w:t>
      </w:r>
    </w:p>
    <w:p w14:paraId="6D33BBF4" w14:textId="37872B90" w:rsidR="00E93157" w:rsidRDefault="00A1325F" w:rsidP="00EB342C">
      <w:pPr>
        <w:pStyle w:val="Proposal"/>
      </w:pPr>
      <w:bookmarkStart w:id="16" w:name="_Toc16550842"/>
      <w:bookmarkStart w:id="17" w:name="_Toc16573707"/>
      <w:r>
        <w:t>Proposal 5:</w:t>
      </w:r>
      <w:r>
        <w:tab/>
        <w:t>How to down-select the number of combinations of supported bands for the multi-band framework should be resolved.</w:t>
      </w:r>
      <w:bookmarkEnd w:id="16"/>
      <w:bookmarkEnd w:id="17"/>
      <w:r>
        <w:t xml:space="preserve"> </w:t>
      </w:r>
    </w:p>
    <w:p w14:paraId="34C99636" w14:textId="77777777" w:rsidR="008E7986" w:rsidRDefault="008E7986" w:rsidP="008E7986">
      <w:pPr>
        <w:pStyle w:val="Heading1"/>
      </w:pPr>
      <w:r>
        <w:t>3</w:t>
      </w:r>
      <w:r>
        <w:tab/>
        <w:t>Conclusions</w:t>
      </w:r>
    </w:p>
    <w:p w14:paraId="463B82DB" w14:textId="629303DC" w:rsidR="00E72ABE" w:rsidRDefault="007414F1" w:rsidP="00E72324">
      <w:r>
        <w:t>This contribution provides views on making progress on the radiated requirements for peak EIRP, spherical coverage EIRP, peak EIS, and spherical coverage EIS.  The following observations and proposals have been made:</w:t>
      </w:r>
    </w:p>
    <w:p w14:paraId="23963EF3" w14:textId="77777777" w:rsidR="00976630" w:rsidRDefault="00F62AEB">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976630">
        <w:rPr>
          <w:noProof/>
        </w:rPr>
        <w:t>Observation 1:</w:t>
      </w:r>
      <w:r w:rsidR="00976630">
        <w:rPr>
          <w:rFonts w:asciiTheme="minorHAnsi" w:eastAsiaTheme="minorEastAsia" w:hAnsiTheme="minorHAnsi" w:cstheme="minorBidi"/>
          <w:b w:val="0"/>
          <w:bCs w:val="0"/>
          <w:noProof/>
          <w:sz w:val="24"/>
          <w:szCs w:val="24"/>
          <w:lang w:val="en-US"/>
        </w:rPr>
        <w:tab/>
      </w:r>
      <w:r w:rsidR="00976630">
        <w:rPr>
          <w:noProof/>
        </w:rPr>
        <w:t xml:space="preserve">At a given frequency, there is a glass thickness which represents the onset of TE1 mode (approximately </w:t>
      </w:r>
      <w:r w:rsidR="00976630" w:rsidRPr="00F472F6">
        <w:rPr>
          <w:noProof/>
          <w:lang w:val="el-GR"/>
        </w:rPr>
        <w:t>λ</w:t>
      </w:r>
      <w:r w:rsidR="00976630" w:rsidRPr="00F472F6">
        <w:rPr>
          <w:noProof/>
          <w:vertAlign w:val="subscript"/>
          <w:lang w:val="en-US"/>
        </w:rPr>
        <w:t>d</w:t>
      </w:r>
      <w:r w:rsidR="00976630" w:rsidRPr="00F472F6">
        <w:rPr>
          <w:noProof/>
          <w:lang w:val="en-US"/>
        </w:rPr>
        <w:t>/4)</w:t>
      </w:r>
      <w:r w:rsidR="00976630">
        <w:rPr>
          <w:noProof/>
        </w:rPr>
        <w:t>, leading to significantly increased surface wave losses.</w:t>
      </w:r>
    </w:p>
    <w:p w14:paraId="55F9A806" w14:textId="77777777" w:rsidR="00976630" w:rsidRDefault="00976630">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Assuming that the glass cover thickness is dictated by mechanical constraints, the onset of TE1 mode is expected to occur above 37 GHz and is implementation dependent.</w:t>
      </w:r>
    </w:p>
    <w:p w14:paraId="65AFCD69" w14:textId="77777777" w:rsidR="00976630" w:rsidRDefault="00976630">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surface wave loss effect is further dependent on the scan angle of the array and should be investigated in the context of spherical coverage performance.</w:t>
      </w:r>
    </w:p>
    <w:p w14:paraId="4FBB4955" w14:textId="4F11053A" w:rsidR="005973BE" w:rsidRDefault="00F62AEB" w:rsidP="00E72324">
      <w:r>
        <w:rPr>
          <w:rFonts w:asciiTheme="minorHAnsi" w:hAnsiTheme="minorHAnsi"/>
          <w:bCs/>
        </w:rPr>
        <w:lastRenderedPageBreak/>
        <w:fldChar w:fldCharType="end"/>
      </w:r>
    </w:p>
    <w:p w14:paraId="72F44397" w14:textId="77777777" w:rsidR="00976630"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976630">
        <w:rPr>
          <w:noProof/>
        </w:rPr>
        <w:t>Proposal 1:</w:t>
      </w:r>
      <w:r w:rsidR="00976630">
        <w:rPr>
          <w:rFonts w:asciiTheme="minorHAnsi" w:eastAsiaTheme="minorEastAsia" w:hAnsiTheme="minorHAnsi" w:cstheme="minorBidi"/>
          <w:b w:val="0"/>
          <w:bCs w:val="0"/>
          <w:noProof/>
          <w:sz w:val="24"/>
          <w:szCs w:val="24"/>
          <w:lang w:val="en-US"/>
        </w:rPr>
        <w:tab/>
      </w:r>
      <w:r w:rsidR="00976630">
        <w:rPr>
          <w:noProof/>
        </w:rPr>
        <w:t>Input from companies to finalize the conducted Tx performance factors is encouraged.</w:t>
      </w:r>
    </w:p>
    <w:p w14:paraId="1FD1DFDC" w14:textId="77777777" w:rsidR="00976630" w:rsidRDefault="00976630">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Input from companies to finalize the conducted Rx performance factors is encouraged.</w:t>
      </w:r>
    </w:p>
    <w:p w14:paraId="5185B2E4" w14:textId="77777777" w:rsidR="00976630" w:rsidRDefault="00976630">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Input from companies on whether Band n260 antenna array performance (peak and spherical coverage) can be reused over the entire Band n259 or over a sub-range is encouraged.</w:t>
      </w:r>
    </w:p>
    <w:p w14:paraId="112CC8F8" w14:textId="77777777" w:rsidR="00976630" w:rsidRDefault="00976630">
      <w:pPr>
        <w:pStyle w:val="TOC1"/>
        <w:rPr>
          <w:rFonts w:asciiTheme="minorHAnsi" w:eastAsiaTheme="minorEastAsia" w:hAnsiTheme="minorHAnsi" w:cstheme="minorBidi"/>
          <w:b w:val="0"/>
          <w:bCs w:val="0"/>
          <w:noProof/>
          <w:sz w:val="24"/>
          <w:szCs w:val="24"/>
          <w:lang w:val="en-US"/>
        </w:rPr>
      </w:pPr>
      <w:r>
        <w:rPr>
          <w:noProof/>
        </w:rPr>
        <w:t>Proposal 4:</w:t>
      </w:r>
      <w:r>
        <w:rPr>
          <w:rFonts w:asciiTheme="minorHAnsi" w:eastAsiaTheme="minorEastAsia" w:hAnsiTheme="minorHAnsi" w:cstheme="minorBidi"/>
          <w:b w:val="0"/>
          <w:bCs w:val="0"/>
          <w:noProof/>
          <w:sz w:val="24"/>
          <w:szCs w:val="24"/>
          <w:lang w:val="en-US"/>
        </w:rPr>
        <w:tab/>
      </w:r>
      <w:r>
        <w:rPr>
          <w:noProof/>
        </w:rPr>
        <w:t>An analysis of antenna array performance which includes engineering trade-offs to support all FR2 bands (n257, n258, n261, n260, n259) is needed in order to quantify the multi-band factors.</w:t>
      </w:r>
    </w:p>
    <w:p w14:paraId="7E269A65" w14:textId="77777777" w:rsidR="00976630" w:rsidRDefault="00976630">
      <w:pPr>
        <w:pStyle w:val="TOC1"/>
        <w:rPr>
          <w:rFonts w:asciiTheme="minorHAnsi" w:eastAsiaTheme="minorEastAsia" w:hAnsiTheme="minorHAnsi" w:cstheme="minorBidi"/>
          <w:b w:val="0"/>
          <w:bCs w:val="0"/>
          <w:noProof/>
          <w:sz w:val="24"/>
          <w:szCs w:val="24"/>
          <w:lang w:val="en-US"/>
        </w:rPr>
      </w:pPr>
      <w:r>
        <w:rPr>
          <w:noProof/>
        </w:rPr>
        <w:t>Proposal 5:</w:t>
      </w:r>
      <w:r>
        <w:rPr>
          <w:rFonts w:asciiTheme="minorHAnsi" w:eastAsiaTheme="minorEastAsia" w:hAnsiTheme="minorHAnsi" w:cstheme="minorBidi"/>
          <w:b w:val="0"/>
          <w:bCs w:val="0"/>
          <w:noProof/>
          <w:sz w:val="24"/>
          <w:szCs w:val="24"/>
          <w:lang w:val="en-US"/>
        </w:rPr>
        <w:tab/>
      </w:r>
      <w:r>
        <w:rPr>
          <w:noProof/>
        </w:rPr>
        <w:t>How to down-select the number of combinations of supported bands for the multi-band framework should be resolved.</w:t>
      </w:r>
    </w:p>
    <w:p w14:paraId="0DA01C95" w14:textId="03A3A153" w:rsidR="0062595A" w:rsidRDefault="0062595A" w:rsidP="00E72324">
      <w:r>
        <w:rPr>
          <w:b/>
          <w:bCs/>
        </w:rPr>
        <w:fldChar w:fldCharType="end"/>
      </w:r>
    </w:p>
    <w:p w14:paraId="769CC3B8" w14:textId="77777777" w:rsidR="0062595A"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7E78123C" w14:textId="36FF55D2" w:rsidR="00B067DA" w:rsidRDefault="00B067DA" w:rsidP="00276EE4">
      <w:pPr>
        <w:pStyle w:val="EX"/>
      </w:pPr>
      <w:bookmarkStart w:id="18" w:name="_Ref16511322"/>
      <w:r w:rsidRPr="00B067DA">
        <w:t>RP-190765, “New WID: introduction of Band n259”</w:t>
      </w:r>
      <w:bookmarkEnd w:id="18"/>
    </w:p>
    <w:p w14:paraId="7C8C27BC" w14:textId="1077E5FB" w:rsidR="002747FA" w:rsidRDefault="002747FA" w:rsidP="00276EE4">
      <w:pPr>
        <w:pStyle w:val="EX"/>
      </w:pPr>
      <w:bookmarkStart w:id="19" w:name="_Ref16511618"/>
      <w:r>
        <w:t>R4-19xxxxx, “</w:t>
      </w:r>
      <w:r w:rsidR="00072F25" w:rsidRPr="00072F25">
        <w:t>RAN4 #91 Meeting report</w:t>
      </w:r>
      <w:r w:rsidR="00072F25">
        <w:t>”</w:t>
      </w:r>
      <w:bookmarkEnd w:id="19"/>
    </w:p>
    <w:p w14:paraId="6BFA5B48" w14:textId="1E9B652A" w:rsidR="00A20743" w:rsidRDefault="00A20743" w:rsidP="00A20743">
      <w:pPr>
        <w:pStyle w:val="EX"/>
      </w:pPr>
      <w:bookmarkStart w:id="20" w:name="_Ref16511671"/>
      <w:r>
        <w:t>R4-1904379, "Scope and workplan for introduction of Band n259 WI"</w:t>
      </w:r>
      <w:bookmarkEnd w:id="20"/>
    </w:p>
    <w:p w14:paraId="2AA747B9" w14:textId="03E4955F" w:rsidR="00855C2A" w:rsidRDefault="00A20743" w:rsidP="00855C2A">
      <w:pPr>
        <w:pStyle w:val="EX"/>
      </w:pPr>
      <w:bookmarkStart w:id="21" w:name="_Ref16511683"/>
      <w:r>
        <w:t>R4-1903072, "Recommendations for the work plan on Band n259"</w:t>
      </w:r>
      <w:bookmarkStart w:id="22" w:name="_Ref16541927"/>
      <w:bookmarkEnd w:id="21"/>
    </w:p>
    <w:p w14:paraId="06EB1BC8" w14:textId="4AD363C5" w:rsidR="00855C2A" w:rsidRDefault="009319B2" w:rsidP="00855C2A">
      <w:pPr>
        <w:pStyle w:val="EX"/>
      </w:pPr>
      <w:bookmarkStart w:id="23" w:name="_Ref16542065"/>
      <w:r w:rsidRPr="009319B2">
        <w:t>R4-1712319</w:t>
      </w:r>
      <w:r>
        <w:t>, “</w:t>
      </w:r>
      <w:r w:rsidRPr="009319B2">
        <w:t>UE power class for FR2</w:t>
      </w:r>
      <w:r>
        <w:t>”</w:t>
      </w:r>
      <w:bookmarkEnd w:id="22"/>
      <w:bookmarkEnd w:id="23"/>
    </w:p>
    <w:p w14:paraId="095AC8C7" w14:textId="734316AE" w:rsidR="00507DB0" w:rsidRDefault="00E067CE" w:rsidP="00A20743">
      <w:pPr>
        <w:pStyle w:val="EX"/>
      </w:pPr>
      <w:bookmarkStart w:id="24" w:name="_Ref16541933"/>
      <w:r>
        <w:t>3GPP TR38.817-01, “</w:t>
      </w:r>
      <w:r w:rsidRPr="00E067CE">
        <w:t>General aspects for User Equipment (UE) Radio Frequency (RF) for NR</w:t>
      </w:r>
      <w:r>
        <w:t>”</w:t>
      </w:r>
      <w:bookmarkEnd w:id="24"/>
    </w:p>
    <w:p w14:paraId="6FCA01C0" w14:textId="6A600035" w:rsidR="00855C2A" w:rsidRDefault="00855C2A" w:rsidP="00A20743">
      <w:pPr>
        <w:pStyle w:val="EX"/>
      </w:pPr>
      <w:bookmarkStart w:id="25" w:name="_Ref16541756"/>
      <w:r w:rsidRPr="00855C2A">
        <w:t>B. Sadhu, et. al., “A 28GHz 32-Element Phased-Array Transceiver IC with Concurrent Dual Polarized Beams and 1.4 Degree Beam-Steering Resolution for 5G Communication,” ISSCC 2017</w:t>
      </w:r>
      <w:bookmarkEnd w:id="25"/>
    </w:p>
    <w:p w14:paraId="7FF4F307" w14:textId="78185D82" w:rsidR="003F147E" w:rsidRDefault="003F147E" w:rsidP="00A20743">
      <w:pPr>
        <w:pStyle w:val="EX"/>
      </w:pPr>
      <w:bookmarkStart w:id="26" w:name="_Ref16542417"/>
      <w:r w:rsidRPr="003F147E">
        <w:t>R4-1804589</w:t>
      </w:r>
      <w:r>
        <w:t>, “</w:t>
      </w:r>
      <w:r w:rsidRPr="003F147E">
        <w:t>mmw UE EIS</w:t>
      </w:r>
      <w:r>
        <w:t>”</w:t>
      </w:r>
      <w:bookmarkEnd w:id="26"/>
    </w:p>
    <w:p w14:paraId="59C83CDC" w14:textId="6B34B85E" w:rsidR="005A435A" w:rsidRDefault="005A435A" w:rsidP="00A20743">
      <w:pPr>
        <w:pStyle w:val="EX"/>
      </w:pPr>
      <w:r>
        <w:t>J. M. Edwards and G. M. Rebeiz, “</w:t>
      </w:r>
      <w:r w:rsidR="00F36A5E">
        <w:t>High Efficiency Elliptical Slot Antennas with Quartz Superstrates for Silicon RFICs,” IEEE Trans. Antennas and Prop. 2012</w:t>
      </w:r>
    </w:p>
    <w:p w14:paraId="73DB6DD8" w14:textId="18B803D7" w:rsidR="00F36A5E" w:rsidRDefault="00C779C2" w:rsidP="00A20743">
      <w:pPr>
        <w:pStyle w:val="EX"/>
      </w:pPr>
      <w:r>
        <w:t>D. R. Jackson and N. G. Alexopoulos, “Gain Enhancement Methods for Printed Circuit Antennas,” IEEE Trans. Antennas and Prop. 1985</w:t>
      </w:r>
    </w:p>
    <w:p w14:paraId="66781097" w14:textId="1254BC12" w:rsidR="00C779C2" w:rsidRDefault="00C779C2" w:rsidP="00A20743">
      <w:pPr>
        <w:pStyle w:val="EX"/>
      </w:pPr>
      <w:r>
        <w:t>R. L. Rogers and D. P. Neikirk, “Use of Broadside Twin Elements to Increase Efficiency on Electrically Thick Dielectric Substrates,” Int. Journal Infrared and Millimeter Waves, 1988</w:t>
      </w:r>
    </w:p>
    <w:p w14:paraId="2A421D4C" w14:textId="68DEAA81" w:rsidR="00C779C2" w:rsidRDefault="002624C9" w:rsidP="002624C9">
      <w:pPr>
        <w:pStyle w:val="EX"/>
      </w:pPr>
      <w:r>
        <w:t xml:space="preserve">K. F. Lee and W. Chen, </w:t>
      </w:r>
      <w:r w:rsidRPr="008C4DCA">
        <w:t>Advances in Microstrip and Printed Antennas</w:t>
      </w:r>
      <w:r>
        <w:t xml:space="preserve">. New York: John Wiley and Sons, Inc., 1997, ch. 5, pp. 223 – 248. </w:t>
      </w:r>
    </w:p>
    <w:p w14:paraId="02656AEC" w14:textId="46C7EA65" w:rsidR="005E69AE" w:rsidRPr="004D3578" w:rsidRDefault="00B067DA" w:rsidP="00276EE4">
      <w:pPr>
        <w:pStyle w:val="EX"/>
      </w:pPr>
      <w:r w:rsidRPr="00B067DA">
        <w:t>R4-1907149</w:t>
      </w:r>
      <w:r>
        <w:t>, “</w:t>
      </w:r>
      <w:r w:rsidRPr="00B067DA">
        <w:t>Views on UE OTA performance requirement derivation for Band n259</w:t>
      </w:r>
      <w:r>
        <w:t>”</w:t>
      </w:r>
    </w:p>
    <w:bookmarkEnd w:id="0"/>
    <w:p w14:paraId="2C7BC95E" w14:textId="77777777" w:rsidR="00080512" w:rsidRDefault="00080512"/>
    <w:sectPr w:rsidR="00080512" w:rsidSect="00FB61C6">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C9452" w14:textId="77777777" w:rsidR="00542B48" w:rsidRDefault="00542B48">
      <w:r>
        <w:separator/>
      </w:r>
    </w:p>
  </w:endnote>
  <w:endnote w:type="continuationSeparator" w:id="0">
    <w:p w14:paraId="5AF1F503" w14:textId="77777777" w:rsidR="00542B48" w:rsidRDefault="0054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414CE" w14:textId="43B9DFF9" w:rsidR="00FB61C6" w:rsidRDefault="00FB61C6" w:rsidP="00FB61C6">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73DC3" w14:textId="77777777" w:rsidR="00542B48" w:rsidRDefault="00542B48">
      <w:r>
        <w:separator/>
      </w:r>
    </w:p>
  </w:footnote>
  <w:footnote w:type="continuationSeparator" w:id="0">
    <w:p w14:paraId="2A531392" w14:textId="77777777" w:rsidR="00542B48" w:rsidRDefault="00542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2B21392"/>
    <w:multiLevelType w:val="multilevel"/>
    <w:tmpl w:val="103ADD32"/>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F25"/>
    <w:rsid w:val="00075DE9"/>
    <w:rsid w:val="00080512"/>
    <w:rsid w:val="000A365D"/>
    <w:rsid w:val="000C47C3"/>
    <w:rsid w:val="000C5593"/>
    <w:rsid w:val="000D58AB"/>
    <w:rsid w:val="000F16B5"/>
    <w:rsid w:val="000F390E"/>
    <w:rsid w:val="00104BC6"/>
    <w:rsid w:val="00133525"/>
    <w:rsid w:val="0019352A"/>
    <w:rsid w:val="001A4C42"/>
    <w:rsid w:val="001C21C3"/>
    <w:rsid w:val="001D02C2"/>
    <w:rsid w:val="001F0C1D"/>
    <w:rsid w:val="001F1132"/>
    <w:rsid w:val="001F168B"/>
    <w:rsid w:val="00211670"/>
    <w:rsid w:val="00232338"/>
    <w:rsid w:val="002347A2"/>
    <w:rsid w:val="00247926"/>
    <w:rsid w:val="002624C9"/>
    <w:rsid w:val="002675F0"/>
    <w:rsid w:val="002747FA"/>
    <w:rsid w:val="00276EE4"/>
    <w:rsid w:val="00284A66"/>
    <w:rsid w:val="002B33DF"/>
    <w:rsid w:val="002B6339"/>
    <w:rsid w:val="002E00EE"/>
    <w:rsid w:val="003172DC"/>
    <w:rsid w:val="0035462D"/>
    <w:rsid w:val="0037102D"/>
    <w:rsid w:val="003765B8"/>
    <w:rsid w:val="003865BF"/>
    <w:rsid w:val="003A0483"/>
    <w:rsid w:val="003A655F"/>
    <w:rsid w:val="003B329E"/>
    <w:rsid w:val="003C3971"/>
    <w:rsid w:val="003C564B"/>
    <w:rsid w:val="003E419B"/>
    <w:rsid w:val="003E7753"/>
    <w:rsid w:val="003F147E"/>
    <w:rsid w:val="0040032A"/>
    <w:rsid w:val="00405996"/>
    <w:rsid w:val="00423334"/>
    <w:rsid w:val="004345EC"/>
    <w:rsid w:val="00460223"/>
    <w:rsid w:val="0046369A"/>
    <w:rsid w:val="004826A9"/>
    <w:rsid w:val="004A27F2"/>
    <w:rsid w:val="004C1601"/>
    <w:rsid w:val="004D3578"/>
    <w:rsid w:val="004E213A"/>
    <w:rsid w:val="004F0988"/>
    <w:rsid w:val="004F3340"/>
    <w:rsid w:val="004F3E3D"/>
    <w:rsid w:val="00507DB0"/>
    <w:rsid w:val="0053388B"/>
    <w:rsid w:val="00535773"/>
    <w:rsid w:val="00542B48"/>
    <w:rsid w:val="00543E6C"/>
    <w:rsid w:val="00565087"/>
    <w:rsid w:val="00572E14"/>
    <w:rsid w:val="005973BE"/>
    <w:rsid w:val="00597B3F"/>
    <w:rsid w:val="005A435A"/>
    <w:rsid w:val="005A5986"/>
    <w:rsid w:val="005C1A40"/>
    <w:rsid w:val="005C3436"/>
    <w:rsid w:val="005C4267"/>
    <w:rsid w:val="005D2E01"/>
    <w:rsid w:val="005D5E24"/>
    <w:rsid w:val="005D7526"/>
    <w:rsid w:val="005E69AE"/>
    <w:rsid w:val="00602AEA"/>
    <w:rsid w:val="00607E3C"/>
    <w:rsid w:val="00610775"/>
    <w:rsid w:val="00614FDF"/>
    <w:rsid w:val="006246A7"/>
    <w:rsid w:val="0062595A"/>
    <w:rsid w:val="00626A6B"/>
    <w:rsid w:val="0063543D"/>
    <w:rsid w:val="00647114"/>
    <w:rsid w:val="006A2DE2"/>
    <w:rsid w:val="006A323F"/>
    <w:rsid w:val="006B30D0"/>
    <w:rsid w:val="006C3D95"/>
    <w:rsid w:val="006D437E"/>
    <w:rsid w:val="006E5C86"/>
    <w:rsid w:val="0070730A"/>
    <w:rsid w:val="00713C44"/>
    <w:rsid w:val="0073058F"/>
    <w:rsid w:val="00734A5B"/>
    <w:rsid w:val="0074026F"/>
    <w:rsid w:val="007414F1"/>
    <w:rsid w:val="007429F6"/>
    <w:rsid w:val="00744E76"/>
    <w:rsid w:val="00752075"/>
    <w:rsid w:val="00752198"/>
    <w:rsid w:val="00753881"/>
    <w:rsid w:val="00762BBE"/>
    <w:rsid w:val="00774DA4"/>
    <w:rsid w:val="00781F0F"/>
    <w:rsid w:val="0078318F"/>
    <w:rsid w:val="007B600E"/>
    <w:rsid w:val="007F0F4A"/>
    <w:rsid w:val="008028A4"/>
    <w:rsid w:val="00820B25"/>
    <w:rsid w:val="00830747"/>
    <w:rsid w:val="00855C2A"/>
    <w:rsid w:val="00857852"/>
    <w:rsid w:val="008768CA"/>
    <w:rsid w:val="008C384C"/>
    <w:rsid w:val="008C4DCA"/>
    <w:rsid w:val="008E4697"/>
    <w:rsid w:val="008E7986"/>
    <w:rsid w:val="0090271F"/>
    <w:rsid w:val="00902E23"/>
    <w:rsid w:val="009114D7"/>
    <w:rsid w:val="0091348E"/>
    <w:rsid w:val="00917CCB"/>
    <w:rsid w:val="009319B2"/>
    <w:rsid w:val="00942EC2"/>
    <w:rsid w:val="009465C7"/>
    <w:rsid w:val="00976630"/>
    <w:rsid w:val="00985531"/>
    <w:rsid w:val="009C25EF"/>
    <w:rsid w:val="009D654B"/>
    <w:rsid w:val="009F37B7"/>
    <w:rsid w:val="009F5E43"/>
    <w:rsid w:val="00A01E38"/>
    <w:rsid w:val="00A10F02"/>
    <w:rsid w:val="00A1325F"/>
    <w:rsid w:val="00A164B4"/>
    <w:rsid w:val="00A20743"/>
    <w:rsid w:val="00A26956"/>
    <w:rsid w:val="00A40FA0"/>
    <w:rsid w:val="00A442F2"/>
    <w:rsid w:val="00A53724"/>
    <w:rsid w:val="00A73129"/>
    <w:rsid w:val="00A82346"/>
    <w:rsid w:val="00A92BA1"/>
    <w:rsid w:val="00AC6BC6"/>
    <w:rsid w:val="00AE3797"/>
    <w:rsid w:val="00B01258"/>
    <w:rsid w:val="00B067DA"/>
    <w:rsid w:val="00B15449"/>
    <w:rsid w:val="00B93086"/>
    <w:rsid w:val="00BA19ED"/>
    <w:rsid w:val="00BA300B"/>
    <w:rsid w:val="00BA4B8D"/>
    <w:rsid w:val="00BB0705"/>
    <w:rsid w:val="00BC0F7D"/>
    <w:rsid w:val="00BD134C"/>
    <w:rsid w:val="00BE3255"/>
    <w:rsid w:val="00BF128E"/>
    <w:rsid w:val="00C1496A"/>
    <w:rsid w:val="00C33079"/>
    <w:rsid w:val="00C43F8C"/>
    <w:rsid w:val="00C45231"/>
    <w:rsid w:val="00C63803"/>
    <w:rsid w:val="00C72833"/>
    <w:rsid w:val="00C779C2"/>
    <w:rsid w:val="00C80F1D"/>
    <w:rsid w:val="00C93F40"/>
    <w:rsid w:val="00CA3D0C"/>
    <w:rsid w:val="00CF20E3"/>
    <w:rsid w:val="00D309CC"/>
    <w:rsid w:val="00D46431"/>
    <w:rsid w:val="00D56A52"/>
    <w:rsid w:val="00D57972"/>
    <w:rsid w:val="00D641A4"/>
    <w:rsid w:val="00D675A9"/>
    <w:rsid w:val="00D738D6"/>
    <w:rsid w:val="00D755EB"/>
    <w:rsid w:val="00D87E00"/>
    <w:rsid w:val="00D9134D"/>
    <w:rsid w:val="00DA2311"/>
    <w:rsid w:val="00DA7A03"/>
    <w:rsid w:val="00DB1818"/>
    <w:rsid w:val="00DC309B"/>
    <w:rsid w:val="00DC4DA2"/>
    <w:rsid w:val="00DD4C17"/>
    <w:rsid w:val="00DF2B1F"/>
    <w:rsid w:val="00DF6189"/>
    <w:rsid w:val="00DF62CD"/>
    <w:rsid w:val="00E067CE"/>
    <w:rsid w:val="00E16509"/>
    <w:rsid w:val="00E44582"/>
    <w:rsid w:val="00E50039"/>
    <w:rsid w:val="00E51B12"/>
    <w:rsid w:val="00E52814"/>
    <w:rsid w:val="00E72324"/>
    <w:rsid w:val="00E72ABE"/>
    <w:rsid w:val="00E77645"/>
    <w:rsid w:val="00E80C3E"/>
    <w:rsid w:val="00E93157"/>
    <w:rsid w:val="00EB342C"/>
    <w:rsid w:val="00EC4A25"/>
    <w:rsid w:val="00EE5AA7"/>
    <w:rsid w:val="00F025A2"/>
    <w:rsid w:val="00F04712"/>
    <w:rsid w:val="00F21311"/>
    <w:rsid w:val="00F22EC7"/>
    <w:rsid w:val="00F325C8"/>
    <w:rsid w:val="00F36A5E"/>
    <w:rsid w:val="00F41375"/>
    <w:rsid w:val="00F62AEB"/>
    <w:rsid w:val="00F653B8"/>
    <w:rsid w:val="00F70647"/>
    <w:rsid w:val="00F714EE"/>
    <w:rsid w:val="00FA1266"/>
    <w:rsid w:val="00FB109C"/>
    <w:rsid w:val="00FB61C6"/>
    <w:rsid w:val="00FB7CB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styleId="PlaceholderText">
    <w:name w:val="Placeholder Text"/>
    <w:basedOn w:val="DefaultParagraphFont"/>
    <w:uiPriority w:val="99"/>
    <w:semiHidden/>
    <w:rsid w:val="00626A6B"/>
    <w:rPr>
      <w:color w:val="808080"/>
    </w:rPr>
  </w:style>
  <w:style w:type="paragraph" w:styleId="NormalWeb">
    <w:name w:val="Normal (Web)"/>
    <w:basedOn w:val="Normal"/>
    <w:uiPriority w:val="99"/>
    <w:unhideWhenUsed/>
    <w:rsid w:val="002624C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690161">
      <w:bodyDiv w:val="1"/>
      <w:marLeft w:val="0"/>
      <w:marRight w:val="0"/>
      <w:marTop w:val="0"/>
      <w:marBottom w:val="0"/>
      <w:divBdr>
        <w:top w:val="none" w:sz="0" w:space="0" w:color="auto"/>
        <w:left w:val="none" w:sz="0" w:space="0" w:color="auto"/>
        <w:bottom w:val="none" w:sz="0" w:space="0" w:color="auto"/>
        <w:right w:val="none" w:sz="0" w:space="0" w:color="auto"/>
      </w:divBdr>
      <w:divsChild>
        <w:div w:id="1940288808">
          <w:marLeft w:val="0"/>
          <w:marRight w:val="0"/>
          <w:marTop w:val="0"/>
          <w:marBottom w:val="0"/>
          <w:divBdr>
            <w:top w:val="none" w:sz="0" w:space="0" w:color="auto"/>
            <w:left w:val="none" w:sz="0" w:space="0" w:color="auto"/>
            <w:bottom w:val="none" w:sz="0" w:space="0" w:color="auto"/>
            <w:right w:val="none" w:sz="0" w:space="0" w:color="auto"/>
          </w:divBdr>
        </w:div>
        <w:div w:id="567813431">
          <w:marLeft w:val="0"/>
          <w:marRight w:val="0"/>
          <w:marTop w:val="0"/>
          <w:marBottom w:val="0"/>
          <w:divBdr>
            <w:top w:val="none" w:sz="0" w:space="0" w:color="auto"/>
            <w:left w:val="none" w:sz="0" w:space="0" w:color="auto"/>
            <w:bottom w:val="none" w:sz="0" w:space="0" w:color="auto"/>
            <w:right w:val="none" w:sz="0" w:space="0" w:color="auto"/>
          </w:divBdr>
        </w:div>
        <w:div w:id="1169323485">
          <w:marLeft w:val="0"/>
          <w:marRight w:val="0"/>
          <w:marTop w:val="0"/>
          <w:marBottom w:val="0"/>
          <w:divBdr>
            <w:top w:val="none" w:sz="0" w:space="0" w:color="auto"/>
            <w:left w:val="none" w:sz="0" w:space="0" w:color="auto"/>
            <w:bottom w:val="none" w:sz="0" w:space="0" w:color="auto"/>
            <w:right w:val="none" w:sz="0" w:space="0" w:color="auto"/>
          </w:divBdr>
        </w:div>
      </w:divsChild>
    </w:div>
    <w:div w:id="1348562092">
      <w:bodyDiv w:val="1"/>
      <w:marLeft w:val="0"/>
      <w:marRight w:val="0"/>
      <w:marTop w:val="0"/>
      <w:marBottom w:val="0"/>
      <w:divBdr>
        <w:top w:val="none" w:sz="0" w:space="0" w:color="auto"/>
        <w:left w:val="none" w:sz="0" w:space="0" w:color="auto"/>
        <w:bottom w:val="none" w:sz="0" w:space="0" w:color="auto"/>
        <w:right w:val="none" w:sz="0" w:space="0" w:color="auto"/>
      </w:divBdr>
      <w:divsChild>
        <w:div w:id="1807358082">
          <w:marLeft w:val="0"/>
          <w:marRight w:val="0"/>
          <w:marTop w:val="0"/>
          <w:marBottom w:val="0"/>
          <w:divBdr>
            <w:top w:val="none" w:sz="0" w:space="0" w:color="auto"/>
            <w:left w:val="none" w:sz="0" w:space="0" w:color="auto"/>
            <w:bottom w:val="none" w:sz="0" w:space="0" w:color="auto"/>
            <w:right w:val="none" w:sz="0" w:space="0" w:color="auto"/>
          </w:divBdr>
          <w:divsChild>
            <w:div w:id="1814524508">
              <w:marLeft w:val="0"/>
              <w:marRight w:val="0"/>
              <w:marTop w:val="0"/>
              <w:marBottom w:val="0"/>
              <w:divBdr>
                <w:top w:val="none" w:sz="0" w:space="0" w:color="auto"/>
                <w:left w:val="none" w:sz="0" w:space="0" w:color="auto"/>
                <w:bottom w:val="none" w:sz="0" w:space="0" w:color="auto"/>
                <w:right w:val="none" w:sz="0" w:space="0" w:color="auto"/>
              </w:divBdr>
              <w:divsChild>
                <w:div w:id="71639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0FA7B-4CF5-994A-AA35-DFF453223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7</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9</cp:revision>
  <cp:lastPrinted>2019-02-25T14:05:00Z</cp:lastPrinted>
  <dcterms:created xsi:type="dcterms:W3CDTF">2019-08-13T13:58:00Z</dcterms:created>
  <dcterms:modified xsi:type="dcterms:W3CDTF">2019-08-15T19:19:00Z</dcterms:modified>
  <cp:category/>
</cp:coreProperties>
</file>